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UI/images/FigCaption.png" ContentType="image/.png"/>
  <Override PartName="/customUI/images/papertitle.png" ContentType="image/.png"/>
  <Override PartName="/customUI/images/ORCID.png" ContentType="image/.png"/>
  <Override PartName="/customUI/images/removespace.png" ContentType="image/.png"/>
  <Override PartName="/customUI/images/bulletitem.png" ContentType="image/.png"/>
  <Override PartName="/customUI/images/arrowleft.png" ContentType="image/.png"/>
  <Override PartName="/customUI/images/addspace.png" ContentType="image/.png"/>
  <Override PartName="/customUI/images/togglenumbering.png" ContentType="image/.png"/>
  <Override PartName="/customUI/images/referenceitem.png" ContentType="image/.png"/>
  <Override PartName="/customUI/images/eqnumber.png" ContentType="image/.png"/>
  <Override PartName="/customUI/images/normalspace.png" ContentType="image/.png"/>
  <Override PartName="/customUI/images/RedoStyles.png" ContentType="image/.png"/>
  <Override PartName="/customUI/images/arrowright.png" ContentType="image/.png"/>
  <Override PartName="/customUI/images/abstract.png" ContentType="image/.png"/>
  <Override PartName="/customUI/images/TabCaption.png" ContentType="image/.png"/>
  <Override PartName="/customUI/images/equation.png" ContentType="image/.png"/>
  <Override PartName="/customUI/images/normal.png" ContentType="image/.png"/>
  <Override PartName="/customUI/images/squeeze.png" ContentType="image/.png"/>
  <Override PartName="/customUI/images/InsertImage.png" ContentType="image/.png"/>
  <Override PartName="/customUI/images/expand.png" ContentType="image/.png"/>
  <Override PartName="/customUI/images/InsertImage24.png" ContentType="image/.png"/>
  <Override PartName="/customUI/images/TabCaption24.png" ContentType="image/.png"/>
  <Override PartName="/customUI/images/FigCaption24.png" ContentType="image/.png"/>
  <Override PartName="/customUI/images/numitem.png" ContentType="image/.png"/>
  <Override PartName="/customUI/images/subtitle.png" ContentType="image/.png"/>
  <Override PartName="/customUI/images/dashitem.png" ContentType="image/.png"/>
  <Override PartName="/customUI/images/address.png" ContentType="image/.png"/>
  <Override PartName="/customUI/images/HeaderFooter.png" ContentType="image/.png"/>
  <Override PartName="/customUI/images/author.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79f3368820ff455b"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98E55" w14:textId="783B1D31" w:rsidR="00AE4462" w:rsidRPr="00B54973" w:rsidRDefault="005037C9" w:rsidP="00AE4462">
      <w:pPr>
        <w:pStyle w:val="papertitle"/>
      </w:pPr>
      <w:bookmarkStart w:id="0" w:name="OLE_LINK6"/>
      <w:bookmarkStart w:id="1" w:name="OLE_LINK7"/>
      <w:r w:rsidRPr="00B54973">
        <w:t xml:space="preserve">Human-AI </w:t>
      </w:r>
      <w:r w:rsidR="00AE4462" w:rsidRPr="00B54973">
        <w:t>Integrated Learning Framework</w:t>
      </w:r>
      <w:r w:rsidRPr="00B54973">
        <w:t xml:space="preserve"> Towards Co-Evolution</w:t>
      </w:r>
    </w:p>
    <w:bookmarkEnd w:id="0"/>
    <w:bookmarkEnd w:id="1"/>
    <w:p w14:paraId="52ADB02D" w14:textId="77B12589" w:rsidR="00696197" w:rsidRPr="00EE426C" w:rsidRDefault="00696197" w:rsidP="00696197">
      <w:pPr>
        <w:pStyle w:val="author"/>
      </w:pPr>
      <w:r w:rsidRPr="00890C64">
        <w:t xml:space="preserve">Long (Jim) Zhang </w:t>
      </w:r>
      <w:r w:rsidRPr="00774AA9">
        <w:rPr>
          <w:rStyle w:val="ORCID"/>
        </w:rPr>
        <w:t>[</w:t>
      </w:r>
      <w:r w:rsidRPr="00890C64">
        <w:rPr>
          <w:rStyle w:val="ORCID"/>
        </w:rPr>
        <w:t>0000-0001-5768-2549</w:t>
      </w:r>
      <w:r w:rsidRPr="00774AA9">
        <w:rPr>
          <w:rStyle w:val="ORCID"/>
        </w:rPr>
        <w:t>]</w:t>
      </w:r>
    </w:p>
    <w:p w14:paraId="6C4C94EC" w14:textId="3B7AF90C" w:rsidR="00696197" w:rsidRPr="00EE426C" w:rsidRDefault="00696197" w:rsidP="00696197">
      <w:pPr>
        <w:pStyle w:val="address"/>
      </w:pPr>
      <w:r w:rsidRPr="00890C64">
        <w:t>Faculty of Education, The University of Hong Kong</w:t>
      </w:r>
      <w:r>
        <w:t>, HK SAR</w:t>
      </w:r>
    </w:p>
    <w:p w14:paraId="50FA1520" w14:textId="77777777" w:rsidR="00696197" w:rsidRPr="006809AE" w:rsidRDefault="00696197" w:rsidP="00696197">
      <w:pPr>
        <w:pStyle w:val="address"/>
        <w:rPr>
          <w:lang w:val="de-DE"/>
        </w:rPr>
      </w:pPr>
      <w:r w:rsidRPr="00890C64">
        <w:rPr>
          <w:rStyle w:val="e-mail"/>
        </w:rPr>
        <w:t>u3008540@connect.hku.hk</w:t>
      </w:r>
    </w:p>
    <w:p w14:paraId="1366D05F" w14:textId="0B0F736C" w:rsidR="00AE4462" w:rsidRPr="00B54973" w:rsidRDefault="00AE4462" w:rsidP="00AE4462">
      <w:pPr>
        <w:pStyle w:val="abstract"/>
        <w:spacing w:after="0"/>
        <w:ind w:firstLine="0"/>
      </w:pPr>
      <w:r w:rsidRPr="00B54973">
        <w:rPr>
          <w:b/>
          <w:bCs/>
        </w:rPr>
        <w:t xml:space="preserve">Abstract. </w:t>
      </w:r>
      <w:r w:rsidRPr="00E22E85">
        <w:t>Human–AI Integrated Learning (HAI-IL) for future denotes the deep co-evolution of humans and AI over the entire learning process</w:t>
      </w:r>
      <w:r w:rsidR="00FD390B" w:rsidRPr="00E22E85">
        <w:t xml:space="preserve">: </w:t>
      </w:r>
      <w:r w:rsidRPr="00E22E85">
        <w:t xml:space="preserve">spanning cognitive, decision-making, and feedback dimensions. In this conceptual paper, we review the evolution of human and machine learning theories and, through a constructivist lens, deconstruct </w:t>
      </w:r>
      <w:r w:rsidR="006E4077" w:rsidRPr="00E22E85">
        <w:t>HAI-IL</w:t>
      </w:r>
      <w:r w:rsidRPr="00E22E85">
        <w:t xml:space="preserve"> into a four-layer model: </w:t>
      </w:r>
      <w:r w:rsidR="002A633F" w:rsidRPr="00E22E85">
        <w:t>S</w:t>
      </w:r>
      <w:r w:rsidRPr="00E22E85">
        <w:t xml:space="preserve">elf, </w:t>
      </w:r>
      <w:r w:rsidR="002A633F" w:rsidRPr="00E22E85">
        <w:t>C</w:t>
      </w:r>
      <w:r w:rsidRPr="00E22E85">
        <w:t xml:space="preserve">ognitive, </w:t>
      </w:r>
      <w:r w:rsidR="002A633F" w:rsidRPr="00E22E85">
        <w:t>I</w:t>
      </w:r>
      <w:r w:rsidRPr="00E22E85">
        <w:t xml:space="preserve">nteraction, and </w:t>
      </w:r>
      <w:r w:rsidR="002A633F" w:rsidRPr="00E22E85">
        <w:t>E</w:t>
      </w:r>
      <w:r w:rsidRPr="00E22E85">
        <w:t>xternal.</w:t>
      </w:r>
      <w:r w:rsidR="002A633F" w:rsidRPr="00E22E85">
        <w:t xml:space="preserve"> We emphasize that HAI-IL should be considered from both </w:t>
      </w:r>
      <w:r w:rsidR="002A633F" w:rsidRPr="00E22E85">
        <w:rPr>
          <w:rFonts w:hint="eastAsia"/>
          <w:lang w:eastAsia="zh-CN"/>
        </w:rPr>
        <w:t>ex</w:t>
      </w:r>
      <w:r w:rsidR="002A633F" w:rsidRPr="00E22E85">
        <w:t>ternal and internal perspectives.</w:t>
      </w:r>
      <w:r w:rsidRPr="00E22E85">
        <w:t xml:space="preserve"> Externally, the learner is an integrated whole</w:t>
      </w:r>
      <w:r w:rsidR="00FD390B" w:rsidRPr="00E22E85">
        <w:t xml:space="preserve">, </w:t>
      </w:r>
      <w:r w:rsidRPr="00E22E85">
        <w:t>human and AI components are inextricably linked</w:t>
      </w:r>
      <w:r w:rsidR="00FD390B" w:rsidRPr="00E22E85">
        <w:t xml:space="preserve">, </w:t>
      </w:r>
      <w:r w:rsidRPr="00E22E85">
        <w:t xml:space="preserve">while internally, AI acts as a cognitive extension akin to a new organ that enables symbiotic learning. </w:t>
      </w:r>
      <w:r w:rsidR="002A633F" w:rsidRPr="00E22E85">
        <w:t>Moreover, s</w:t>
      </w:r>
      <w:r w:rsidRPr="00E22E85">
        <w:t xml:space="preserve">elf-regulation mechanism is </w:t>
      </w:r>
      <w:r w:rsidR="00DC5AE1" w:rsidRPr="00E22E85">
        <w:t xml:space="preserve">crucial </w:t>
      </w:r>
      <w:r w:rsidRPr="00E22E85">
        <w:t xml:space="preserve">for HAI-IL, which dynamically monitors and adjusts processes to align human-centered values with "AI for Social Good." Reinforced by a </w:t>
      </w:r>
      <w:r w:rsidR="002A633F" w:rsidRPr="00E22E85">
        <w:t xml:space="preserve">HAI </w:t>
      </w:r>
      <w:r w:rsidRPr="00E22E85">
        <w:t>dual-spiral supervisory architecture, this mechanism ensures AI enhances human intellect rather than substitutes for it, thus preserving proactive human agency. The framework outlines technical trajectories and measurement methodologies for each layer, offering guidance for applications in education, healthcare, and public services. Future technological research should prioritize the development of personalized large language models and efficient information and behavioral exchange in human-machine interaction design under this framework's guidance. Future educational research should explore teaching and assessment of the HAI entirety, and extend self-regulation theory to the integrated HAI system. By reconceptualizing future learning as an ecosystem of mutual adaptation, HAI-IL not only fosters transformative cognitive innovations but also mitigates socio-economic tensions by AI technology development, such as workforce polarization and measure difficulty.</w:t>
      </w:r>
    </w:p>
    <w:p w14:paraId="6A5475CC" w14:textId="52C7182A" w:rsidR="00AE4462" w:rsidRPr="00B54973" w:rsidRDefault="00AE4462" w:rsidP="00AE4462">
      <w:pPr>
        <w:pStyle w:val="keywords"/>
      </w:pPr>
      <w:r w:rsidRPr="00B54973">
        <w:rPr>
          <w:b/>
          <w:bCs/>
        </w:rPr>
        <w:t>Keywords:</w:t>
      </w:r>
      <w:r w:rsidRPr="00B54973">
        <w:t xml:space="preserve"> </w:t>
      </w:r>
      <w:r w:rsidR="00E76195" w:rsidRPr="00B54973">
        <w:t>Human-AI Integrat</w:t>
      </w:r>
      <w:r w:rsidR="00E76195">
        <w:t xml:space="preserve">ed Learning; </w:t>
      </w:r>
      <w:r w:rsidR="00E76195" w:rsidRPr="00B54973">
        <w:t>Human-AI</w:t>
      </w:r>
      <w:r w:rsidR="00E76195">
        <w:t xml:space="preserve"> Symbiosis; Hybrid</w:t>
      </w:r>
      <w:r w:rsidRPr="00B54973">
        <w:t xml:space="preserve"> Intelligence; Human-Computer Interaction;</w:t>
      </w:r>
      <w:r w:rsidR="00E76195">
        <w:t xml:space="preserve"> Learning Process Framework</w:t>
      </w:r>
    </w:p>
    <w:p w14:paraId="4537F02C" w14:textId="77777777" w:rsidR="00AE4462" w:rsidRPr="00B54973" w:rsidRDefault="00AE4462" w:rsidP="00AE4462">
      <w:pPr>
        <w:pStyle w:val="heading1"/>
      </w:pPr>
      <w:r w:rsidRPr="00B54973">
        <w:t>Introduction</w:t>
      </w:r>
    </w:p>
    <w:p w14:paraId="0E059264" w14:textId="62918172" w:rsidR="00AE4462" w:rsidRPr="00B54973" w:rsidRDefault="00AE4462" w:rsidP="00AE4462">
      <w:pPr>
        <w:pStyle w:val="p1a"/>
      </w:pPr>
      <w:bookmarkStart w:id="2" w:name="OLE_LINK1"/>
      <w:bookmarkStart w:id="3" w:name="OLE_LINK2"/>
      <w:r w:rsidRPr="00B54973">
        <w:t>Human learning, an ancient phenomenon rooted in early exploration and adaptation, has evolved dramatically through the knowledge explosion of the information age (cf. Yan et al., 2024). From an infant’s initial curiosity to the structured accumulation of knowledge via education, social interactions, and life experiences, human cognition undergoes continuous transformation</w:t>
      </w:r>
      <w:r w:rsidR="00FD390B">
        <w:t xml:space="preserve">, </w:t>
      </w:r>
      <w:r w:rsidRPr="00B54973">
        <w:t xml:space="preserve">each stage marking a milestone in this dynamic </w:t>
      </w:r>
      <w:r w:rsidRPr="00B54973">
        <w:lastRenderedPageBreak/>
        <w:t xml:space="preserve">journey (e.g., Cognitive Development from Piaget, </w:t>
      </w:r>
      <w:proofErr w:type="spellStart"/>
      <w:r w:rsidRPr="00B54973">
        <w:t>Barrouillet</w:t>
      </w:r>
      <w:proofErr w:type="spellEnd"/>
      <w:r w:rsidRPr="00B54973">
        <w:t>, 2015). Crucially, learning transcends formal education; every life experience</w:t>
      </w:r>
      <w:r w:rsidR="00FD390B">
        <w:t xml:space="preserve"> (</w:t>
      </w:r>
      <w:r w:rsidRPr="00B54973">
        <w:t>be it a mentor’s insight, nature’s revelation, or adversity’s lesson</w:t>
      </w:r>
      <w:r w:rsidR="00FD390B">
        <w:t xml:space="preserve">) </w:t>
      </w:r>
      <w:r w:rsidRPr="00B54973">
        <w:t xml:space="preserve">deepens understanding and shapes unique cognitive frameworks, values, and behaviors (such as growth of the mind, </w:t>
      </w:r>
      <w:proofErr w:type="spellStart"/>
      <w:r w:rsidRPr="00B54973">
        <w:t>Bion</w:t>
      </w:r>
      <w:proofErr w:type="spellEnd"/>
      <w:r w:rsidRPr="00B54973">
        <w:t xml:space="preserve"> &amp; Hinshelwood, 2023).</w:t>
      </w:r>
    </w:p>
    <w:bookmarkEnd w:id="2"/>
    <w:bookmarkEnd w:id="3"/>
    <w:p w14:paraId="06CDC7F8" w14:textId="2B474617" w:rsidR="00AE4462" w:rsidRPr="00B54973" w:rsidRDefault="00AE4462" w:rsidP="00AE4462">
      <w:r w:rsidRPr="00B54973">
        <w:t xml:space="preserve">Traditionally, human learning relied on physiological and cognitive capacities. Creativity, driven by imagination, has birthed masterpieces like Da Vinci’s Mona Lisa and Shakespeare’s dramas. Emotionally, humans excel in detecting and responding to others’ feelings, offering empathy and care (such as emotion perception and theory of mind, Mitchell &amp; Phillips, 2015). In complex scenarios, they demonstrate holistic problem-solving. However, compared to computer algorithms, human processing speeds and data storage capabilities are markedly limited (Al-Zahrani, 2024). During information torrent, relying solely on human </w:t>
      </w:r>
      <w:r w:rsidR="00D70B13" w:rsidRPr="00B54973">
        <w:rPr>
          <w:rFonts w:hint="eastAsia"/>
          <w:lang w:eastAsia="zh-CN"/>
        </w:rPr>
        <w:t>limited</w:t>
      </w:r>
      <w:r w:rsidR="00D70B13" w:rsidRPr="00B54973">
        <w:rPr>
          <w:lang w:eastAsia="zh-CN"/>
        </w:rPr>
        <w:t xml:space="preserve"> </w:t>
      </w:r>
      <w:r w:rsidRPr="00B54973">
        <w:t xml:space="preserve">abilities is akin to rowing </w:t>
      </w:r>
      <w:r w:rsidR="00FD390B">
        <w:t xml:space="preserve">upstream, </w:t>
      </w:r>
      <w:r w:rsidRPr="00B54973">
        <w:t>struggling to extract value from the deluge. Without advanced tools, humanity’s capacity for deep analysis and flexible application remains constrained.</w:t>
      </w:r>
    </w:p>
    <w:p w14:paraId="1F7D2D11" w14:textId="05E37DF6" w:rsidR="00AE4462" w:rsidRPr="00B54973" w:rsidRDefault="00AE4462" w:rsidP="00AE4462">
      <w:pPr>
        <w:rPr>
          <w:lang w:eastAsia="zh-CN"/>
        </w:rPr>
      </w:pPr>
      <w:r w:rsidRPr="00B54973">
        <w:t>The advent of Artificial Intelligence (AI) has catalyzed a paradigm shift, transitioning from humanistic learning to Human-AI (HAI) collaborative learning and eventually to integrated HAI learning</w:t>
      </w:r>
      <w:r w:rsidR="00FD390B">
        <w:t xml:space="preserve">: </w:t>
      </w:r>
      <w:r w:rsidRPr="00B54973">
        <w:t>a model aligned with transhumanism (cf. Cordeiro, 2014). This evolution leverages AI’s computational power, data efficiency, and pattern recognition to augment human cognition, surpassing traditional boundaries (cf. Yan et al., 2024).</w:t>
      </w:r>
    </w:p>
    <w:p w14:paraId="2036B2F4" w14:textId="4DAE279B" w:rsidR="00AE4462" w:rsidRPr="00B54973" w:rsidRDefault="00AE4462" w:rsidP="00AE4462">
      <w:r w:rsidRPr="00B54973">
        <w:t xml:space="preserve">Such transformations are evident across fields. In education, AI </w:t>
      </w:r>
      <w:r w:rsidRPr="00B54973">
        <w:rPr>
          <w:rFonts w:hint="eastAsia"/>
          <w:lang w:eastAsia="zh-CN"/>
        </w:rPr>
        <w:t>e</w:t>
      </w:r>
      <w:r w:rsidRPr="00B54973">
        <w:t>nhances learning processes while students optimize AI functionalities for project-specific needs</w:t>
      </w:r>
      <w:r w:rsidR="00EB36B2" w:rsidRPr="00B54973">
        <w:t>, combined human creativity with the information storage and processing power of AI.</w:t>
      </w:r>
      <w:r w:rsidRPr="00B54973">
        <w:t xml:space="preserve"> (</w:t>
      </w:r>
      <w:r w:rsidR="00EB36B2" w:rsidRPr="00B54973">
        <w:rPr>
          <w:rFonts w:hint="eastAsia"/>
          <w:lang w:eastAsia="zh-CN"/>
        </w:rPr>
        <w:t>e.g.</w:t>
      </w:r>
      <w:r w:rsidR="00EB36B2" w:rsidRPr="00B54973">
        <w:rPr>
          <w:lang w:eastAsia="zh-CN"/>
        </w:rPr>
        <w:t xml:space="preserve"> </w:t>
      </w:r>
      <w:r w:rsidRPr="00B54973">
        <w:t>Zheng et al., 2024). In medicine, AI processes medical imaging data at unprecedented speeds, improving diagnostic accuracy and expanding knowledge (cf. Popa et al., 2024). Similarly, in environmental science, HAI integration offers innovative solutions to global challenges like climate change by combining human ecological insights with AI’s data analysis (Han et al., 2024; Materia et al., 2024).</w:t>
      </w:r>
    </w:p>
    <w:p w14:paraId="6D7C02F2" w14:textId="45B0BBFF" w:rsidR="00AE4462" w:rsidRPr="00B54973" w:rsidRDefault="00AE4462" w:rsidP="005037C9">
      <w:r w:rsidRPr="00B54973">
        <w:t>Paradoxically, while HAI’s benefits seem self-evident, tensions arise. AI’s automation of repetitive tasks threatens job sectors like data entry and customer service, fueling competition and resistance (cf. Virgilio et al., 2024)</w:t>
      </w:r>
      <w:r w:rsidRPr="00B54973">
        <w:rPr>
          <w:rFonts w:hint="eastAsia"/>
          <w:lang w:eastAsia="zh-CN"/>
        </w:rPr>
        <w:t>.</w:t>
      </w:r>
      <w:r w:rsidRPr="00B54973">
        <w:t xml:space="preserve"> Ethical concerns</w:t>
      </w:r>
      <w:r w:rsidR="003447D9" w:rsidRPr="00B54973">
        <w:t xml:space="preserve">, </w:t>
      </w:r>
      <w:r w:rsidRPr="00B54973">
        <w:t>algorithmic bias, data privacy</w:t>
      </w:r>
      <w:r w:rsidR="003447D9" w:rsidRPr="00B54973">
        <w:t xml:space="preserve"> and so on </w:t>
      </w:r>
      <w:r w:rsidRPr="00B54973">
        <w:t>further complicate AI’s potential, creating a "double-edged sword" scenario (cf. Yin et al., 2024; Chen &amp; Lin, 2024; Dong et al., 2025). People are starting to worry about the job losses, privacy and fairness that AI will bring</w:t>
      </w:r>
      <w:r w:rsidR="00B070C8" w:rsidRPr="00B54973">
        <w:t>, which hinder HAI integration process</w:t>
      </w:r>
      <w:r w:rsidRPr="00B54973">
        <w:t>.</w:t>
      </w:r>
      <w:r w:rsidR="005037C9" w:rsidRPr="00B54973">
        <w:rPr>
          <w:rFonts w:hint="eastAsia"/>
          <w:lang w:eastAsia="zh-CN"/>
        </w:rPr>
        <w:t xml:space="preserve"> </w:t>
      </w:r>
      <w:r w:rsidR="00B070C8" w:rsidRPr="00B54973">
        <w:t>It</w:t>
      </w:r>
      <w:r w:rsidR="00594D90" w:rsidRPr="00B54973">
        <w:t xml:space="preserve"> </w:t>
      </w:r>
      <w:r w:rsidR="00B070C8" w:rsidRPr="00B54973">
        <w:t>suggests</w:t>
      </w:r>
      <w:r w:rsidR="00594D90" w:rsidRPr="00B54973">
        <w:t xml:space="preserve"> that a deeper-hybrid HAI integration need to adhere to human-centered co-evolution.</w:t>
      </w:r>
    </w:p>
    <w:p w14:paraId="04F482D4" w14:textId="14E92211" w:rsidR="00F87558" w:rsidRPr="00B54973" w:rsidRDefault="00F87558" w:rsidP="008873B3">
      <w:pPr>
        <w:rPr>
          <w:lang w:eastAsia="zh-CN"/>
        </w:rPr>
      </w:pPr>
      <w:r w:rsidRPr="00B54973">
        <w:t xml:space="preserve">The emergence of HAI-Integrated Learning (HAI-IL) responds to critical tensions between human and </w:t>
      </w:r>
      <w:r w:rsidR="00524771" w:rsidRPr="00B54973">
        <w:t>AI</w:t>
      </w:r>
      <w:r w:rsidRPr="00B54973">
        <w:t xml:space="preserve"> systems, proposing a structural </w:t>
      </w:r>
      <w:r w:rsidR="004270A7" w:rsidRPr="00B54973">
        <w:t xml:space="preserve">human-centered </w:t>
      </w:r>
      <w:r w:rsidRPr="00B54973">
        <w:t>synthesis rather than adversarial competition</w:t>
      </w:r>
      <w:r w:rsidR="004270A7" w:rsidRPr="00B54973">
        <w:t xml:space="preserve"> (</w:t>
      </w:r>
      <w:r w:rsidR="004270A7" w:rsidRPr="00B54973">
        <w:rPr>
          <w:rFonts w:hint="eastAsia"/>
          <w:lang w:eastAsia="zh-CN"/>
        </w:rPr>
        <w:t>cf</w:t>
      </w:r>
      <w:r w:rsidR="004270A7" w:rsidRPr="00B54973">
        <w:t>.</w:t>
      </w:r>
      <w:r w:rsidR="004270A7" w:rsidRPr="00B54973">
        <w:rPr>
          <w:rFonts w:hint="eastAsia"/>
          <w:lang w:eastAsia="zh-CN"/>
        </w:rPr>
        <w:t xml:space="preserve"> </w:t>
      </w:r>
      <w:r w:rsidR="004270A7" w:rsidRPr="00B54973">
        <w:t xml:space="preserve">Xu, 2019; </w:t>
      </w:r>
      <w:proofErr w:type="spellStart"/>
      <w:r w:rsidR="008C3F5C" w:rsidRPr="00B54973">
        <w:t>Shneiderman</w:t>
      </w:r>
      <w:proofErr w:type="spellEnd"/>
      <w:r w:rsidR="008C3F5C" w:rsidRPr="00B54973">
        <w:t xml:space="preserve">, 2020; </w:t>
      </w:r>
      <w:r w:rsidR="00E94926" w:rsidRPr="00B54973">
        <w:t xml:space="preserve">Wang </w:t>
      </w:r>
      <w:r w:rsidR="004270A7" w:rsidRPr="00B54973">
        <w:t>et al., 2024</w:t>
      </w:r>
      <w:r w:rsidR="00E94926" w:rsidRPr="00B54973">
        <w:t>)</w:t>
      </w:r>
      <w:r w:rsidRPr="00B54973">
        <w:t>.</w:t>
      </w:r>
      <w:r w:rsidR="003F6074" w:rsidRPr="00B54973">
        <w:t xml:space="preserve"> </w:t>
      </w:r>
      <w:r w:rsidRPr="00B54973">
        <w:t>This framework transcends traditional cognitive boundaries through three foundational advances: (1) establishing symbiotic learning pathways, (2) enabling complementary capacity enhancement, and (3) embedding ethical guardrails for human agency preservation.</w:t>
      </w:r>
      <w:r w:rsidR="003F6074" w:rsidRPr="00B54973">
        <w:t xml:space="preserve"> </w:t>
      </w:r>
      <w:r w:rsidR="00AC5AE7" w:rsidRPr="00B54973">
        <w:t>Revealed in this study, HAI-Integrated Learning</w:t>
      </w:r>
      <w:r w:rsidR="003F6074" w:rsidRPr="00B54973">
        <w:t xml:space="preserve"> proces</w:t>
      </w:r>
      <w:r w:rsidR="00AC5AE7" w:rsidRPr="00B54973">
        <w:t>s</w:t>
      </w:r>
      <w:r w:rsidR="003F6074" w:rsidRPr="00B54973">
        <w:t xml:space="preserve"> allows both humans and AI to reap the human-centered benefits and developments.</w:t>
      </w:r>
    </w:p>
    <w:p w14:paraId="21359C4A" w14:textId="7481D8CA" w:rsidR="00130E81" w:rsidRPr="00B54973" w:rsidRDefault="00130E81" w:rsidP="00130E81">
      <w:r w:rsidRPr="00B54973">
        <w:lastRenderedPageBreak/>
        <w:t xml:space="preserve">Our conceptual development follows systematic deconstruction-reconstruction processes (adapted from </w:t>
      </w:r>
      <w:proofErr w:type="spellStart"/>
      <w:r w:rsidRPr="00B54973">
        <w:t>Jabareen</w:t>
      </w:r>
      <w:proofErr w:type="spellEnd"/>
      <w:r w:rsidRPr="00B54973">
        <w:t xml:space="preserve">, 2009; </w:t>
      </w:r>
      <w:proofErr w:type="spellStart"/>
      <w:r w:rsidRPr="00B54973">
        <w:t>Gero</w:t>
      </w:r>
      <w:proofErr w:type="spellEnd"/>
      <w:r w:rsidRPr="00B54973">
        <w:t xml:space="preserve">, 1990). Ultimately, our approach adopts a constructivist perspective that synthesizes human and machine (AI) learning. We propose a </w:t>
      </w:r>
      <w:r w:rsidR="00712E72" w:rsidRPr="00B54973">
        <w:t>four-layer</w:t>
      </w:r>
      <w:r w:rsidRPr="00B54973">
        <w:t xml:space="preserve"> HAI-IL framework (Self, Cognitive, Interactional, and External layers). This framework emphasizes the co-evolution and mutual complementarity of humans and AI. Our actionable recommendations call for integrated measurement and development from both internal and external perspectives. We stress that human self-regulation must remain the core mechanism to sustain learning motivation and uphold human-centered ethical standards. </w:t>
      </w:r>
      <w:r w:rsidR="00712E72" w:rsidRPr="00B54973">
        <w:t>In conclusion</w:t>
      </w:r>
      <w:r w:rsidRPr="00B54973">
        <w:t>, we outline potential technological pathways for further refinement.</w:t>
      </w:r>
    </w:p>
    <w:p w14:paraId="49C7A608" w14:textId="77777777" w:rsidR="00AE4462" w:rsidRPr="00B54973" w:rsidRDefault="00AE4462" w:rsidP="00AE4462">
      <w:pPr>
        <w:pStyle w:val="heading1"/>
        <w:rPr>
          <w:lang w:eastAsia="zh-CN"/>
        </w:rPr>
      </w:pPr>
      <w:r w:rsidRPr="00B54973">
        <w:rPr>
          <w:rFonts w:hint="eastAsia"/>
          <w:lang w:eastAsia="zh-CN"/>
        </w:rPr>
        <w:t>Literature</w:t>
      </w:r>
      <w:r w:rsidRPr="00B54973">
        <w:rPr>
          <w:lang w:eastAsia="zh-CN"/>
        </w:rPr>
        <w:t xml:space="preserve"> </w:t>
      </w:r>
      <w:r w:rsidRPr="00B54973">
        <w:rPr>
          <w:rFonts w:hint="eastAsia"/>
          <w:lang w:eastAsia="zh-CN"/>
        </w:rPr>
        <w:t>Review</w:t>
      </w:r>
    </w:p>
    <w:p w14:paraId="0B396A8F" w14:textId="77777777" w:rsidR="00AE4462" w:rsidRPr="00B54973" w:rsidRDefault="00AE4462" w:rsidP="00AE4462">
      <w:pPr>
        <w:pStyle w:val="heading2"/>
        <w:spacing w:before="0"/>
      </w:pPr>
      <w:r w:rsidRPr="00B54973">
        <w:t xml:space="preserve">Related Conceptual </w:t>
      </w:r>
      <w:r w:rsidRPr="00B54973">
        <w:rPr>
          <w:lang w:eastAsia="zh-CN"/>
        </w:rPr>
        <w:t>R</w:t>
      </w:r>
      <w:r w:rsidRPr="00B54973">
        <w:rPr>
          <w:rFonts w:hint="eastAsia"/>
          <w:lang w:eastAsia="zh-CN"/>
        </w:rPr>
        <w:t>eview</w:t>
      </w:r>
    </w:p>
    <w:p w14:paraId="34B9A7C6" w14:textId="33CC87B7" w:rsidR="00AE4462" w:rsidRPr="00B54973" w:rsidRDefault="00AE4462" w:rsidP="00AE4462">
      <w:pPr>
        <w:pStyle w:val="p1a"/>
        <w:rPr>
          <w:lang w:eastAsia="zh-CN"/>
        </w:rPr>
      </w:pPr>
      <w:r w:rsidRPr="00B54973">
        <w:t>This study establishes the core conception of Human–AI Integrated Learning</w:t>
      </w:r>
      <w:r w:rsidR="003F6074" w:rsidRPr="00B54973">
        <w:t xml:space="preserve"> </w:t>
      </w:r>
      <w:r w:rsidRPr="00B54973">
        <w:t>as a paradigm that diverges decisively from traditional AI-assisted educational models. In contrast to conventional frameworks that rely on unidirectional knowledge transmission (e.g., Kung et al., 2023; Biswas et al., 2023), HAI-IL reconceptualizes the cognitive dimension as a process of symbiotic adaptation</w:t>
      </w:r>
      <w:r w:rsidRPr="00B54973">
        <w:rPr>
          <w:rFonts w:hint="eastAsia"/>
          <w:lang w:eastAsia="zh-CN"/>
        </w:rPr>
        <w:t xml:space="preserve"> with</w:t>
      </w:r>
      <w:r w:rsidRPr="00B54973">
        <w:rPr>
          <w:lang w:eastAsia="zh-CN"/>
        </w:rPr>
        <w:t xml:space="preserve"> HAI as an integration</w:t>
      </w:r>
      <w:r w:rsidR="00FD390B">
        <w:t xml:space="preserve">, </w:t>
      </w:r>
      <w:r w:rsidRPr="00B54973">
        <w:t xml:space="preserve">where dynamic adjustments supplant static content delivery. Looking at HAI as </w:t>
      </w:r>
      <w:r w:rsidRPr="00B54973">
        <w:rPr>
          <w:lang w:eastAsia="zh-CN"/>
        </w:rPr>
        <w:t>integration</w:t>
      </w:r>
      <w:r w:rsidRPr="00B54973">
        <w:t>, there are two related concepts: H</w:t>
      </w:r>
      <w:r w:rsidRPr="00B54973">
        <w:rPr>
          <w:rFonts w:hint="eastAsia"/>
          <w:lang w:eastAsia="zh-CN"/>
        </w:rPr>
        <w:t>AI</w:t>
      </w:r>
      <w:r w:rsidRPr="00B54973">
        <w:rPr>
          <w:lang w:eastAsia="zh-CN"/>
        </w:rPr>
        <w:t xml:space="preserve"> </w:t>
      </w:r>
      <w:r w:rsidRPr="00B54973">
        <w:t>symbiosis and Hybrid Intelligence.</w:t>
      </w:r>
    </w:p>
    <w:p w14:paraId="516616C5" w14:textId="55055050" w:rsidR="00AE4462" w:rsidRPr="00B54973" w:rsidRDefault="00AE4462" w:rsidP="00AE4462">
      <w:r w:rsidRPr="00B54973">
        <w:t xml:space="preserve">The human-AI symbiotic relationship represents a state of mutual enhancement where artificial intelligence systems function as cognitive prostheses (cf. </w:t>
      </w:r>
      <w:proofErr w:type="spellStart"/>
      <w:r w:rsidRPr="00B54973">
        <w:t>Licklider</w:t>
      </w:r>
      <w:proofErr w:type="spellEnd"/>
      <w:r w:rsidRPr="00B54973">
        <w:t xml:space="preserve">, 1960), extending human intellectual capabilities while maintaining human agency as the core directive force. This paradigm builds upon the foundational principles of man-computer symbiosis, adapting them to contemporary artificial intelligence contexts. </w:t>
      </w:r>
      <w:r w:rsidRPr="00B54973">
        <w:rPr>
          <w:rFonts w:hint="eastAsia"/>
          <w:lang w:eastAsia="zh-CN"/>
        </w:rPr>
        <w:t>It</w:t>
      </w:r>
      <w:r w:rsidRPr="00B54973">
        <w:rPr>
          <w:lang w:eastAsia="zh-CN"/>
        </w:rPr>
        <w:t xml:space="preserve"> </w:t>
      </w:r>
      <w:r w:rsidRPr="00B54973">
        <w:t>spotlights the interdependent, co-evolving relationship between humans and AI during learning (e.g., Zheng et al., 2024). In this mode, AI evolves from a mere tool into an extension of the learner’s cognitive and creative capacities. Although HAI symbiotic shares much with HAI-IL, it falls short in emphasizing the integrated, indivisible entity of human and AI</w:t>
      </w:r>
      <w:r w:rsidR="00FD390B">
        <w:t xml:space="preserve">, which is </w:t>
      </w:r>
      <w:r w:rsidRPr="00B54973">
        <w:t>a perspective that HAI-IL fully upholds.</w:t>
      </w:r>
    </w:p>
    <w:p w14:paraId="5484541D" w14:textId="493C99D0" w:rsidR="00AE4462" w:rsidRPr="00B54973" w:rsidRDefault="00AE4462" w:rsidP="00AE4462">
      <w:r w:rsidRPr="00B54973">
        <w:t>Hybrid Intelligence is defined as “the ability to achieve complex goals by combining human and artificial intelligence, thereby attaining superior results than either could in isolation</w:t>
      </w:r>
      <w:r w:rsidR="00FD390B">
        <w:t xml:space="preserve"> </w:t>
      </w:r>
      <w:proofErr w:type="gramStart"/>
      <w:r w:rsidRPr="00B54973">
        <w:t>and</w:t>
      </w:r>
      <w:proofErr w:type="gramEnd"/>
      <w:r w:rsidRPr="00B54973">
        <w:t xml:space="preserve"> continuously learning from each other” (</w:t>
      </w:r>
      <w:proofErr w:type="spellStart"/>
      <w:r w:rsidRPr="00B54973">
        <w:t>Dellermann</w:t>
      </w:r>
      <w:proofErr w:type="spellEnd"/>
      <w:r w:rsidRPr="00B54973">
        <w:t xml:space="preserve"> et al., 2019, p.640). While both hybrid intelligence and HAI-IL pursue synergistic complementarity, HAI-IL distinguishes itself by emphasizing a holistic system design and comprehensive management of the learning process. Here, hybrid intelligence represents an external product of HAI-IL rather than addressing the internal interconnections.</w:t>
      </w:r>
    </w:p>
    <w:p w14:paraId="739BC07D" w14:textId="20FD0364" w:rsidR="00AE4462" w:rsidRPr="00B54973" w:rsidRDefault="00AE4462" w:rsidP="00AE4462">
      <w:r w:rsidRPr="00B54973">
        <w:t>HAI integration is not an entirely new concept; rather, it represents an amalgamation of earlier theoretical constructs. Under the paradigm of HAI symbiosis, the learning process inherently involves hybrid intelligence</w:t>
      </w:r>
      <w:r w:rsidR="00FD390B">
        <w:t>. A</w:t>
      </w:r>
      <w:r w:rsidRPr="00B54973">
        <w:t xml:space="preserve"> notion that extends beyond mere HAI interaction to include elements of collective intelligence, such as the HAI </w:t>
      </w:r>
      <w:r w:rsidRPr="00B54973">
        <w:rPr>
          <w:rFonts w:hint="eastAsia"/>
          <w:lang w:eastAsia="zh-CN"/>
        </w:rPr>
        <w:t>co</w:t>
      </w:r>
      <w:r w:rsidRPr="00B54973">
        <w:rPr>
          <w:lang w:eastAsia="zh-CN"/>
        </w:rPr>
        <w:t xml:space="preserve">-evolution and </w:t>
      </w:r>
      <w:r w:rsidRPr="00B54973">
        <w:t>co-performance. In this context, the outcomes of HAI integrated learning are emblematic of HAI symbiotic hybrid intelligence (shown as Fig. 1).</w:t>
      </w:r>
    </w:p>
    <w:p w14:paraId="39346117" w14:textId="77777777" w:rsidR="00AE4462" w:rsidRPr="00B54973" w:rsidRDefault="00AE4462" w:rsidP="00AE4462">
      <w:pPr>
        <w:pStyle w:val="image"/>
      </w:pPr>
      <w:r w:rsidRPr="00B54973">
        <w:rPr>
          <w:noProof/>
        </w:rPr>
        <w:lastRenderedPageBreak/>
        <w:drawing>
          <wp:inline distT="0" distB="0" distL="0" distR="0" wp14:anchorId="0D115A79" wp14:editId="6DC890A5">
            <wp:extent cx="4392930" cy="1459865"/>
            <wp:effectExtent l="0" t="0" r="0" b="0"/>
            <wp:docPr id="946267181" name="图片 7" descr="文本&#10;&#10;描述已自动生成"/>
            <wp:cNvGraphicFramePr/>
            <a:graphic xmlns:a="http://schemas.openxmlformats.org/drawingml/2006/main">
              <a:graphicData uri="http://schemas.openxmlformats.org/drawingml/2006/picture">
                <pic:pic xmlns:pic="http://schemas.openxmlformats.org/drawingml/2006/picture">
                  <pic:nvPicPr>
                    <pic:cNvPr id="946267181" name="图片 7" descr="文本&#10;&#10;描述已自动生成"/>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92930" cy="1459865"/>
                    </a:xfrm>
                    <a:prstGeom prst="rect">
                      <a:avLst/>
                    </a:prstGeom>
                  </pic:spPr>
                </pic:pic>
              </a:graphicData>
            </a:graphic>
          </wp:inline>
        </w:drawing>
      </w:r>
    </w:p>
    <w:p w14:paraId="297D7591" w14:textId="2040938D" w:rsidR="00AE4462" w:rsidRPr="00B54973" w:rsidRDefault="00AE4462" w:rsidP="00AE4462">
      <w:pPr>
        <w:pStyle w:val="figurecaption"/>
      </w:pPr>
      <w:r w:rsidRPr="00B54973">
        <w:rPr>
          <w:b/>
        </w:rPr>
        <w:t xml:space="preserve">Fig. </w:t>
      </w:r>
      <w:r w:rsidRPr="00B54973">
        <w:rPr>
          <w:b/>
        </w:rPr>
        <w:fldChar w:fldCharType="begin"/>
      </w:r>
      <w:r w:rsidRPr="00B54973">
        <w:rPr>
          <w:b/>
        </w:rPr>
        <w:instrText xml:space="preserve"> SEQ "Figure" \* MERGEFORMAT </w:instrText>
      </w:r>
      <w:r w:rsidRPr="00B54973">
        <w:rPr>
          <w:b/>
        </w:rPr>
        <w:fldChar w:fldCharType="separate"/>
      </w:r>
      <w:r w:rsidR="006E4077">
        <w:rPr>
          <w:b/>
          <w:noProof/>
        </w:rPr>
        <w:t>1</w:t>
      </w:r>
      <w:r w:rsidRPr="00B54973">
        <w:rPr>
          <w:b/>
        </w:rPr>
        <w:fldChar w:fldCharType="end"/>
      </w:r>
      <w:r w:rsidRPr="00B54973">
        <w:rPr>
          <w:b/>
        </w:rPr>
        <w:t>.</w:t>
      </w:r>
      <w:r w:rsidRPr="00B54973">
        <w:t xml:space="preserve"> HAI Integration, HAI Symbiosis, and Hybrid Intelligence</w:t>
      </w:r>
    </w:p>
    <w:p w14:paraId="4D13F6B8" w14:textId="4AC082B3" w:rsidR="00AE4462" w:rsidRPr="00B54973" w:rsidRDefault="00AE4462" w:rsidP="00AE4462">
      <w:pPr>
        <w:pStyle w:val="p1a"/>
      </w:pPr>
      <w:r w:rsidRPr="00B54973">
        <w:t>H</w:t>
      </w:r>
      <w:r w:rsidRPr="00B54973">
        <w:rPr>
          <w:rFonts w:hint="eastAsia"/>
        </w:rPr>
        <w:t>AI</w:t>
      </w:r>
      <w:r w:rsidRPr="00B54973">
        <w:t>-</w:t>
      </w:r>
      <w:r w:rsidRPr="00B54973">
        <w:rPr>
          <w:rFonts w:hint="eastAsia"/>
        </w:rPr>
        <w:t>IL</w:t>
      </w:r>
      <w:r w:rsidRPr="00B54973">
        <w:t xml:space="preserve"> represents the developmental and evolutionary process through which human-AI symbiotic hybrid intelligence emerges and matures. This conceptualization frames human-AI interaction as a unified, indivisible system, transcending traditional perspectives that treat human and AI components as discrete entities. The theoretical foundation of this learning process is anchored in human-computer interaction (HCI), facilitating bidirectional exchange of information through advanced interfaces (e.g., gesture-based sensing technology</w:t>
      </w:r>
      <w:r w:rsidR="00323467" w:rsidRPr="00B54973">
        <w:t>,</w:t>
      </w:r>
      <w:r w:rsidRPr="00B54973">
        <w:t xml:space="preserve"> Guo, 2021) and behavioral patterns, enabling sustained human-AI collaboration across sequential task completion (e.g., AI-assisted academic writing; Nguyen et al., 2024).</w:t>
      </w:r>
    </w:p>
    <w:p w14:paraId="11ECCFC8" w14:textId="2CA43A57" w:rsidR="00AE4462" w:rsidRPr="00B54973" w:rsidRDefault="00AE4462" w:rsidP="00AE4462">
      <w:pPr>
        <w:rPr>
          <w:lang w:eastAsia="zh-CN"/>
        </w:rPr>
      </w:pPr>
      <w:r w:rsidRPr="00B54973">
        <w:rPr>
          <w:lang w:eastAsia="zh-CN"/>
        </w:rPr>
        <w:t>The HAI integration undergoes continuous evolution through iterative task engagement and environmental interaction. Central to this evolutionary process is the principle of human-centric integration, emphasizing AI-</w:t>
      </w:r>
      <w:r w:rsidR="00323467" w:rsidRPr="00B54973">
        <w:rPr>
          <w:lang w:eastAsia="zh-CN"/>
        </w:rPr>
        <w:t>assisted</w:t>
      </w:r>
      <w:r w:rsidRPr="00B54973">
        <w:rPr>
          <w:lang w:eastAsia="zh-CN"/>
        </w:rPr>
        <w:t xml:space="preserve"> decision-making while maintaining human agency (</w:t>
      </w:r>
      <w:r w:rsidR="00323467" w:rsidRPr="00B54973">
        <w:rPr>
          <w:lang w:eastAsia="zh-CN"/>
        </w:rPr>
        <w:t xml:space="preserve">e.g. Cognitive forcing to reduce AI-Overreliance, </w:t>
      </w:r>
      <w:proofErr w:type="spellStart"/>
      <w:r w:rsidR="00323467" w:rsidRPr="00B54973">
        <w:rPr>
          <w:lang w:eastAsia="zh-CN"/>
        </w:rPr>
        <w:t>Buçinca</w:t>
      </w:r>
      <w:proofErr w:type="spellEnd"/>
      <w:r w:rsidR="00323467" w:rsidRPr="00B54973">
        <w:rPr>
          <w:lang w:eastAsia="zh-CN"/>
        </w:rPr>
        <w:t xml:space="preserve"> </w:t>
      </w:r>
      <w:r w:rsidR="00E569AF" w:rsidRPr="00B54973">
        <w:rPr>
          <w:lang w:eastAsia="zh-CN"/>
        </w:rPr>
        <w:t>et al</w:t>
      </w:r>
      <w:r w:rsidR="00323467" w:rsidRPr="00B54973">
        <w:rPr>
          <w:rFonts w:hint="eastAsia"/>
          <w:lang w:eastAsia="zh-CN"/>
        </w:rPr>
        <w:t>.</w:t>
      </w:r>
      <w:r w:rsidR="00323467" w:rsidRPr="00B54973">
        <w:rPr>
          <w:lang w:eastAsia="zh-CN"/>
        </w:rPr>
        <w:t xml:space="preserve">, </w:t>
      </w:r>
      <w:r w:rsidR="00E569AF" w:rsidRPr="00B54973">
        <w:rPr>
          <w:lang w:eastAsia="zh-CN"/>
        </w:rPr>
        <w:t>2021</w:t>
      </w:r>
      <w:r w:rsidRPr="00B54973">
        <w:rPr>
          <w:lang w:eastAsia="zh-CN"/>
        </w:rPr>
        <w:t>). This human-centered approach serves dual purposes: first, it upholds the ethical framework of 'AI for Social Good,' and second, it provides the essential motivational drive</w:t>
      </w:r>
      <w:r w:rsidR="00FD390B">
        <w:rPr>
          <w:lang w:eastAsia="zh-CN"/>
        </w:rPr>
        <w:t xml:space="preserve"> (</w:t>
      </w:r>
      <w:r w:rsidRPr="00B54973">
        <w:rPr>
          <w:lang w:eastAsia="zh-CN"/>
        </w:rPr>
        <w:t>rooted in human affect and intention</w:t>
      </w:r>
      <w:r w:rsidR="00FD390B">
        <w:rPr>
          <w:lang w:eastAsia="zh-CN"/>
        </w:rPr>
        <w:t xml:space="preserve">) </w:t>
      </w:r>
      <w:r w:rsidRPr="00B54973">
        <w:rPr>
          <w:lang w:eastAsia="zh-CN"/>
        </w:rPr>
        <w:t>for the co-evolution of the integrated HAI system.</w:t>
      </w:r>
    </w:p>
    <w:p w14:paraId="44EBE474" w14:textId="77777777" w:rsidR="00AE4462" w:rsidRPr="00B54973" w:rsidRDefault="00AE4462" w:rsidP="00AE4462">
      <w:pPr>
        <w:pStyle w:val="heading2"/>
        <w:rPr>
          <w:lang w:eastAsia="zh-CN"/>
        </w:rPr>
      </w:pPr>
      <w:r w:rsidRPr="00B54973">
        <w:rPr>
          <w:lang w:eastAsia="zh-CN"/>
        </w:rPr>
        <w:t xml:space="preserve">Integrative </w:t>
      </w:r>
      <w:r w:rsidRPr="00B54973">
        <w:rPr>
          <w:rFonts w:hint="eastAsia"/>
          <w:lang w:eastAsia="zh-CN"/>
        </w:rPr>
        <w:t>Review</w:t>
      </w:r>
      <w:r w:rsidRPr="00B54973">
        <w:rPr>
          <w:lang w:eastAsia="zh-CN"/>
        </w:rPr>
        <w:t xml:space="preserve"> of Multidisciplinary Theories</w:t>
      </w:r>
    </w:p>
    <w:p w14:paraId="28A803D8" w14:textId="77777777" w:rsidR="00AE4462" w:rsidRPr="00B54973" w:rsidRDefault="00AE4462" w:rsidP="00AE4462">
      <w:pPr>
        <w:ind w:firstLine="0"/>
        <w:rPr>
          <w:lang w:eastAsia="zh-CN"/>
        </w:rPr>
      </w:pPr>
      <w:r w:rsidRPr="00B54973">
        <w:rPr>
          <w:lang w:eastAsia="zh-CN"/>
        </w:rPr>
        <w:t>Transposing perspectives from social constructivism, cognitive development theory, metacognitive theory, and deep learning framework within System 2 yields valuable insights. However, a systematic analysis is required to reconcile their complementary facets with potential conflicts under the HAI-IL framework.</w:t>
      </w:r>
    </w:p>
    <w:p w14:paraId="50A836CE" w14:textId="77777777" w:rsidR="00AE4462" w:rsidRPr="00B54973" w:rsidRDefault="00AE4462" w:rsidP="00AE4462">
      <w:pPr>
        <w:pStyle w:val="3"/>
      </w:pPr>
      <w:r w:rsidRPr="00B54973">
        <w:rPr>
          <w:rStyle w:val="heading3"/>
        </w:rPr>
        <w:t>Knowledge Construction vs. Data-Driven Approaches: Differences and Integration.</w:t>
      </w:r>
    </w:p>
    <w:p w14:paraId="604B65A9" w14:textId="177D9545" w:rsidR="00AE4462" w:rsidRPr="00B54973" w:rsidRDefault="00AE4462" w:rsidP="00AE4462">
      <w:pPr>
        <w:ind w:firstLine="0"/>
        <w:rPr>
          <w:lang w:eastAsia="zh-CN"/>
        </w:rPr>
      </w:pPr>
      <w:r w:rsidRPr="00B54973">
        <w:rPr>
          <w:lang w:eastAsia="zh-CN"/>
        </w:rPr>
        <w:t>Social constructivism (Vygotsky, 1978) and situated learning theory (Lave &amp; Wenger, 1991) argue that active social interaction and contextual “meaning-making” are central to knowledge construction, where motivational factors and self-efficacy (Zimmerman, 1995) play key roles. In contrast, deep learning (</w:t>
      </w:r>
      <w:proofErr w:type="spellStart"/>
      <w:r w:rsidRPr="00B54973">
        <w:rPr>
          <w:lang w:eastAsia="zh-CN"/>
        </w:rPr>
        <w:t>LeCun</w:t>
      </w:r>
      <w:proofErr w:type="spellEnd"/>
      <w:r w:rsidRPr="00B54973">
        <w:rPr>
          <w:lang w:eastAsia="zh-CN"/>
        </w:rPr>
        <w:t xml:space="preserve"> et al., 2015) relies on massive datasets for inductive, often passive, pattern recognition</w:t>
      </w:r>
      <w:r w:rsidR="00FD390B">
        <w:rPr>
          <w:lang w:eastAsia="zh-CN"/>
        </w:rPr>
        <w:t xml:space="preserve"> (</w:t>
      </w:r>
      <w:r w:rsidRPr="00B54973">
        <w:rPr>
          <w:lang w:eastAsia="zh-CN"/>
        </w:rPr>
        <w:t xml:space="preserve">presuming that knowledge </w:t>
      </w:r>
      <w:r w:rsidRPr="00B54973">
        <w:rPr>
          <w:lang w:eastAsia="zh-CN"/>
        </w:rPr>
        <w:lastRenderedPageBreak/>
        <w:t>can be formalized into universal rules</w:t>
      </w:r>
      <w:r w:rsidR="00FD390B">
        <w:rPr>
          <w:lang w:eastAsia="zh-CN"/>
        </w:rPr>
        <w:t>)</w:t>
      </w:r>
      <w:r w:rsidRPr="00B54973">
        <w:rPr>
          <w:lang w:eastAsia="zh-CN"/>
        </w:rPr>
        <w:t>. However, these approaches are strategically complementary: as deep learning increasingly integrates symbolic reasoning (</w:t>
      </w:r>
      <w:proofErr w:type="spellStart"/>
      <w:r w:rsidRPr="00B54973">
        <w:rPr>
          <w:lang w:eastAsia="zh-CN"/>
        </w:rPr>
        <w:t>Bengio</w:t>
      </w:r>
      <w:proofErr w:type="spellEnd"/>
      <w:r w:rsidRPr="00B54973">
        <w:rPr>
          <w:lang w:eastAsia="zh-CN"/>
        </w:rPr>
        <w:t xml:space="preserve"> et al., 2017), its abstract processes begin to mirror high-order human cognition, enabling humans to harness AI’s data-processing prowess while preserving sensitivity to context.</w:t>
      </w:r>
    </w:p>
    <w:p w14:paraId="4787E2A7" w14:textId="77777777" w:rsidR="00AE4462" w:rsidRPr="00B54973" w:rsidRDefault="00AE4462" w:rsidP="00AE4462">
      <w:pPr>
        <w:pStyle w:val="3"/>
      </w:pPr>
      <w:r w:rsidRPr="00B54973">
        <w:rPr>
          <w:rStyle w:val="heading3"/>
        </w:rPr>
        <w:t>Socio-Cultural Interaction vs. Intrinsic Algorithmic Mechanisms: Conflicts and Opportunities.</w:t>
      </w:r>
      <w:r w:rsidRPr="00B54973">
        <w:t xml:space="preserve"> </w:t>
      </w:r>
    </w:p>
    <w:p w14:paraId="430F0DD7" w14:textId="22898C56" w:rsidR="00AE4462" w:rsidRPr="00B54973" w:rsidRDefault="00AE4462" w:rsidP="00AE4462">
      <w:pPr>
        <w:ind w:firstLine="0"/>
        <w:rPr>
          <w:lang w:eastAsia="zh-CN"/>
        </w:rPr>
      </w:pPr>
      <w:r w:rsidRPr="00B54973">
        <w:rPr>
          <w:lang w:eastAsia="zh-CN"/>
        </w:rPr>
        <w:t>Vygotsky’s</w:t>
      </w:r>
      <w:r w:rsidR="008C3F5C" w:rsidRPr="00B54973">
        <w:rPr>
          <w:lang w:eastAsia="zh-CN"/>
        </w:rPr>
        <w:t xml:space="preserve"> (1978)</w:t>
      </w:r>
      <w:r w:rsidRPr="00B54973">
        <w:rPr>
          <w:lang w:eastAsia="zh-CN"/>
        </w:rPr>
        <w:t xml:space="preserve"> emphasis on the Zone of Proximal Development (ZPD) and scaffolding underscores the importance of socio-cultural factors</w:t>
      </w:r>
      <w:r w:rsidR="00FD390B">
        <w:rPr>
          <w:lang w:eastAsia="zh-CN"/>
        </w:rPr>
        <w:t xml:space="preserve">, which </w:t>
      </w:r>
      <w:r w:rsidRPr="00B54973">
        <w:rPr>
          <w:lang w:eastAsia="zh-CN"/>
        </w:rPr>
        <w:t>elements largely absent from conventional deep learning (</w:t>
      </w:r>
      <w:proofErr w:type="spellStart"/>
      <w:r w:rsidRPr="00B54973">
        <w:rPr>
          <w:lang w:eastAsia="zh-CN"/>
        </w:rPr>
        <w:t>LeCun</w:t>
      </w:r>
      <w:proofErr w:type="spellEnd"/>
      <w:r w:rsidRPr="00B54973">
        <w:rPr>
          <w:lang w:eastAsia="zh-CN"/>
        </w:rPr>
        <w:t xml:space="preserve"> et al., 2015) and reinforcement learning models (Sutton, 2018). This omission risks neglecting emergent cultural changes or inherent value differences. Embedding socio-cultural feedback mechanisms (e.g. </w:t>
      </w:r>
      <w:proofErr w:type="spellStart"/>
      <w:r w:rsidRPr="00B54973">
        <w:rPr>
          <w:lang w:eastAsia="zh-CN"/>
        </w:rPr>
        <w:t>Christiano</w:t>
      </w:r>
      <w:proofErr w:type="spellEnd"/>
      <w:r w:rsidRPr="00B54973">
        <w:rPr>
          <w:lang w:eastAsia="zh-CN"/>
        </w:rPr>
        <w:t xml:space="preserve"> et al., 2017) or metacognitive regulation within HAI-IL can dynamically realign AI decision processes, ensuring algorithmic fairness and humanistic care.</w:t>
      </w:r>
    </w:p>
    <w:p w14:paraId="3392BD89" w14:textId="77777777" w:rsidR="00AE4462" w:rsidRPr="00B54973" w:rsidRDefault="00AE4462" w:rsidP="00AE4462">
      <w:pPr>
        <w:pStyle w:val="3"/>
      </w:pPr>
      <w:r w:rsidRPr="00B54973">
        <w:rPr>
          <w:rStyle w:val="heading3"/>
        </w:rPr>
        <w:t>Extended Cognition vs. Neuro-Symbolic Synergy: Deep Complementarity.</w:t>
      </w:r>
      <w:r w:rsidRPr="00B54973">
        <w:t xml:space="preserve"> </w:t>
      </w:r>
    </w:p>
    <w:p w14:paraId="1F7DEEBD" w14:textId="6B2FD91A" w:rsidR="00AE4462" w:rsidRPr="00B54973" w:rsidRDefault="00AE4462" w:rsidP="00AE4462">
      <w:pPr>
        <w:ind w:firstLine="0"/>
        <w:rPr>
          <w:lang w:eastAsia="zh-CN"/>
        </w:rPr>
      </w:pPr>
      <w:r w:rsidRPr="00B54973">
        <w:rPr>
          <w:lang w:eastAsia="zh-CN"/>
        </w:rPr>
        <w:t xml:space="preserve">Clark’s extended cognition theory (Clark &amp; Chalmers, 2010) posits that humans extend their cognitive reach through external tools like AI. </w:t>
      </w:r>
      <w:proofErr w:type="spellStart"/>
      <w:r w:rsidRPr="00B54973">
        <w:rPr>
          <w:lang w:eastAsia="zh-CN"/>
        </w:rPr>
        <w:t>Bengio’s</w:t>
      </w:r>
      <w:proofErr w:type="spellEnd"/>
      <w:r w:rsidRPr="00B54973">
        <w:rPr>
          <w:lang w:eastAsia="zh-CN"/>
        </w:rPr>
        <w:t xml:space="preserve"> neuro-symbolic dual-channel architecture embodies this synergy by delegating symbolic reasoning to AI, thereby freeing human resources for creative and emotional tasks. In the HAI-IL context, iterative human feedback (Zheng et al., 2024) and a bidirectional cognitive support system reinforce this deep complementarity, while upholding ethical imperatives such as “AI for Social Good” (</w:t>
      </w:r>
      <w:proofErr w:type="spellStart"/>
      <w:r w:rsidRPr="00B54973">
        <w:rPr>
          <w:lang w:eastAsia="zh-CN"/>
        </w:rPr>
        <w:t>Tomašev</w:t>
      </w:r>
      <w:proofErr w:type="spellEnd"/>
      <w:r w:rsidRPr="00B54973">
        <w:rPr>
          <w:lang w:eastAsia="zh-CN"/>
        </w:rPr>
        <w:t xml:space="preserve"> et al., 2020) and a human-centered integration process (</w:t>
      </w:r>
      <w:r w:rsidR="008C3F5C" w:rsidRPr="00B54973">
        <w:rPr>
          <w:lang w:eastAsia="zh-CN"/>
        </w:rPr>
        <w:t xml:space="preserve">e.g. </w:t>
      </w:r>
      <w:proofErr w:type="spellStart"/>
      <w:r w:rsidRPr="00B54973">
        <w:rPr>
          <w:lang w:eastAsia="zh-CN"/>
        </w:rPr>
        <w:t>Shneiderman</w:t>
      </w:r>
      <w:proofErr w:type="spellEnd"/>
      <w:r w:rsidRPr="00B54973">
        <w:rPr>
          <w:lang w:eastAsia="zh-CN"/>
        </w:rPr>
        <w:t>, 2020).</w:t>
      </w:r>
    </w:p>
    <w:p w14:paraId="3D3C8474" w14:textId="7E240199" w:rsidR="00AE4462" w:rsidRPr="00B54973" w:rsidRDefault="00AE4462" w:rsidP="00AE4462">
      <w:pPr>
        <w:rPr>
          <w:lang w:eastAsia="zh-CN"/>
        </w:rPr>
      </w:pPr>
      <w:r w:rsidRPr="00B54973">
        <w:rPr>
          <w:lang w:eastAsia="zh-CN"/>
        </w:rPr>
        <w:t>In sum, while integrating multidisciplinary theories may generate tensions</w:t>
      </w:r>
      <w:r w:rsidR="00FD390B">
        <w:rPr>
          <w:lang w:eastAsia="zh-CN"/>
        </w:rPr>
        <w:t xml:space="preserve">, </w:t>
      </w:r>
      <w:r w:rsidRPr="00B54973">
        <w:rPr>
          <w:lang w:eastAsia="zh-CN"/>
        </w:rPr>
        <w:t>such as the conflict between personalized learning trajectories advocated by the ZPD and the standardized outputs of reinforcement learning</w:t>
      </w:r>
      <w:r w:rsidR="00FD390B">
        <w:rPr>
          <w:lang w:eastAsia="zh-CN"/>
        </w:rPr>
        <w:t>. T</w:t>
      </w:r>
      <w:r w:rsidRPr="00B54973">
        <w:rPr>
          <w:lang w:eastAsia="zh-CN"/>
        </w:rPr>
        <w:t>hese divergences foster innovation in Human-AI Integrated Learning. The holistic HAI-IL approach reconciles these differences by viewing humans and AI as an integrated entity, preserving interdisciplinary insights and driving advances in both theory and application.</w:t>
      </w:r>
    </w:p>
    <w:p w14:paraId="55B22E08" w14:textId="77777777" w:rsidR="00AE4462" w:rsidRPr="00B54973" w:rsidRDefault="00AE4462" w:rsidP="00AE4462">
      <w:pPr>
        <w:pStyle w:val="heading1"/>
        <w:rPr>
          <w:lang w:eastAsia="zh-CN"/>
        </w:rPr>
      </w:pPr>
      <w:r w:rsidRPr="00B54973">
        <w:rPr>
          <w:lang w:eastAsia="zh-CN"/>
        </w:rPr>
        <w:t>Methodology</w:t>
      </w:r>
    </w:p>
    <w:p w14:paraId="2C46C6CB" w14:textId="11B30F8B" w:rsidR="00AE4462" w:rsidRPr="00B54973" w:rsidRDefault="00AE4462" w:rsidP="00AE4462">
      <w:pPr>
        <w:ind w:firstLine="0"/>
        <w:rPr>
          <w:lang w:eastAsia="zh-CN"/>
        </w:rPr>
      </w:pPr>
      <w:r w:rsidRPr="00B54973">
        <w:rPr>
          <w:lang w:eastAsia="zh-CN"/>
        </w:rPr>
        <w:t xml:space="preserve">This study employs a mixed-method approach to reconstruct and integrate existing theories into a unified HAI Integrated Learning framework. Our methodology synthesizes </w:t>
      </w:r>
      <w:proofErr w:type="spellStart"/>
      <w:r w:rsidRPr="00B54973">
        <w:rPr>
          <w:lang w:eastAsia="zh-CN"/>
        </w:rPr>
        <w:t>Jabareen's</w:t>
      </w:r>
      <w:proofErr w:type="spellEnd"/>
      <w:r w:rsidRPr="00B54973">
        <w:rPr>
          <w:lang w:eastAsia="zh-CN"/>
        </w:rPr>
        <w:t xml:space="preserve"> Conceptual Framework Analysis (2009) and </w:t>
      </w:r>
      <w:proofErr w:type="spellStart"/>
      <w:r w:rsidRPr="00B54973">
        <w:rPr>
          <w:lang w:eastAsia="zh-CN"/>
        </w:rPr>
        <w:t>Gero's</w:t>
      </w:r>
      <w:proofErr w:type="spellEnd"/>
      <w:r w:rsidRPr="00B54973">
        <w:rPr>
          <w:lang w:eastAsia="zh-CN"/>
        </w:rPr>
        <w:t xml:space="preserve"> Function-Behavior-Structure Framework (1990), following established practices in theoretical development (cf. Whetten, 1989; </w:t>
      </w:r>
      <w:proofErr w:type="spellStart"/>
      <w:r w:rsidRPr="00B54973">
        <w:rPr>
          <w:lang w:eastAsia="zh-CN"/>
        </w:rPr>
        <w:t>Lynham</w:t>
      </w:r>
      <w:proofErr w:type="spellEnd"/>
      <w:r w:rsidRPr="00B54973">
        <w:rPr>
          <w:lang w:eastAsia="zh-CN"/>
        </w:rPr>
        <w:t>, 2002).</w:t>
      </w:r>
      <w:r w:rsidRPr="00B54973">
        <w:rPr>
          <w:rFonts w:hint="eastAsia"/>
          <w:lang w:eastAsia="zh-CN"/>
        </w:rPr>
        <w:t xml:space="preserve"> </w:t>
      </w:r>
      <w:r w:rsidRPr="00B54973">
        <w:rPr>
          <w:lang w:eastAsia="zh-CN"/>
        </w:rPr>
        <w:t>The development process comprised three main phases:</w:t>
      </w:r>
    </w:p>
    <w:p w14:paraId="32451E3B" w14:textId="77777777" w:rsidR="00AE4462" w:rsidRPr="00B54973" w:rsidRDefault="00AE4462" w:rsidP="00AE4462">
      <w:pPr>
        <w:pStyle w:val="numitem"/>
        <w:rPr>
          <w:lang w:eastAsia="zh-CN"/>
        </w:rPr>
      </w:pPr>
      <w:r w:rsidRPr="00B54973">
        <w:rPr>
          <w:lang w:eastAsia="zh-CN"/>
        </w:rPr>
        <w:t>Concept Identification and Analysis</w:t>
      </w:r>
    </w:p>
    <w:p w14:paraId="20A59806" w14:textId="77777777" w:rsidR="00AE4462" w:rsidRPr="00B54973" w:rsidRDefault="00AE4462" w:rsidP="00AE4462">
      <w:pPr>
        <w:pStyle w:val="bulletitem"/>
        <w:spacing w:before="0"/>
        <w:rPr>
          <w:lang w:eastAsia="zh-CN"/>
        </w:rPr>
      </w:pPr>
      <w:r w:rsidRPr="00B54973">
        <w:rPr>
          <w:lang w:eastAsia="zh-CN"/>
        </w:rPr>
        <w:t>Systematic review of constructivist learning theories (Piaget, 1976; Vygotsky, 1978)</w:t>
      </w:r>
    </w:p>
    <w:p w14:paraId="0BC5E8D0" w14:textId="77777777" w:rsidR="00AE4462" w:rsidRPr="00B54973" w:rsidRDefault="00AE4462" w:rsidP="00AE4462">
      <w:pPr>
        <w:pStyle w:val="bulletitem"/>
        <w:rPr>
          <w:lang w:eastAsia="zh-CN"/>
        </w:rPr>
      </w:pPr>
      <w:r w:rsidRPr="00B54973">
        <w:rPr>
          <w:lang w:eastAsia="zh-CN"/>
        </w:rPr>
        <w:lastRenderedPageBreak/>
        <w:t>Analysis of machine learning paradigms (</w:t>
      </w:r>
      <w:proofErr w:type="spellStart"/>
      <w:r w:rsidRPr="00B54973">
        <w:rPr>
          <w:lang w:eastAsia="zh-CN"/>
        </w:rPr>
        <w:t>LeCun</w:t>
      </w:r>
      <w:proofErr w:type="spellEnd"/>
      <w:r w:rsidRPr="00B54973">
        <w:rPr>
          <w:lang w:eastAsia="zh-CN"/>
        </w:rPr>
        <w:t xml:space="preserve"> et al., 2015; Mitchell, 2006)</w:t>
      </w:r>
    </w:p>
    <w:p w14:paraId="428123BE" w14:textId="74D61B34" w:rsidR="00AE4462" w:rsidRPr="00B54973" w:rsidRDefault="00AE4462" w:rsidP="00AE4462">
      <w:pPr>
        <w:pStyle w:val="bulletitem"/>
        <w:spacing w:after="0"/>
        <w:rPr>
          <w:lang w:eastAsia="zh-CN"/>
        </w:rPr>
      </w:pPr>
      <w:r w:rsidRPr="00B54973">
        <w:rPr>
          <w:lang w:eastAsia="zh-CN"/>
        </w:rPr>
        <w:t>Integration of HAI interaction frameworks (</w:t>
      </w:r>
      <w:r w:rsidR="00BA03DE" w:rsidRPr="00B54973">
        <w:rPr>
          <w:lang w:eastAsia="zh-CN"/>
        </w:rPr>
        <w:t xml:space="preserve">Sowa et al., </w:t>
      </w:r>
      <w:r w:rsidR="00BA03DE" w:rsidRPr="00B54973">
        <w:rPr>
          <w:rFonts w:hint="eastAsia"/>
          <w:lang w:eastAsia="zh-CN"/>
        </w:rPr>
        <w:t>2</w:t>
      </w:r>
      <w:r w:rsidR="00BA03DE" w:rsidRPr="00B54973">
        <w:rPr>
          <w:lang w:eastAsia="zh-CN"/>
        </w:rPr>
        <w:t>021; Zhang et al, 2022; Almeida &amp; Senapati, 2024)</w:t>
      </w:r>
    </w:p>
    <w:p w14:paraId="6F4501FE" w14:textId="77777777" w:rsidR="00AE4462" w:rsidRPr="00B54973" w:rsidRDefault="00AE4462" w:rsidP="00AE4462">
      <w:pPr>
        <w:pStyle w:val="numitem"/>
        <w:rPr>
          <w:lang w:eastAsia="zh-CN"/>
        </w:rPr>
      </w:pPr>
      <w:r w:rsidRPr="00B54973">
        <w:rPr>
          <w:lang w:eastAsia="zh-CN"/>
        </w:rPr>
        <w:t>Framework Development</w:t>
      </w:r>
    </w:p>
    <w:p w14:paraId="456A6289" w14:textId="77777777" w:rsidR="00AE4462" w:rsidRPr="00B54973" w:rsidRDefault="00AE4462" w:rsidP="00AE4462">
      <w:pPr>
        <w:pStyle w:val="bulletitem"/>
        <w:spacing w:before="0"/>
        <w:rPr>
          <w:lang w:eastAsia="zh-CN"/>
        </w:rPr>
      </w:pPr>
      <w:r w:rsidRPr="00B54973">
        <w:rPr>
          <w:lang w:eastAsia="zh-CN"/>
        </w:rPr>
        <w:t xml:space="preserve">Deconstruction Phase: Applied four-level constructivist schema to analyze both human and machine learning components, following </w:t>
      </w:r>
      <w:proofErr w:type="spellStart"/>
      <w:r w:rsidRPr="00B54973">
        <w:rPr>
          <w:lang w:eastAsia="zh-CN"/>
        </w:rPr>
        <w:t>Jabareen's</w:t>
      </w:r>
      <w:proofErr w:type="spellEnd"/>
      <w:r w:rsidRPr="00B54973">
        <w:rPr>
          <w:lang w:eastAsia="zh-CN"/>
        </w:rPr>
        <w:t xml:space="preserve"> (2009) mapping approach</w:t>
      </w:r>
    </w:p>
    <w:p w14:paraId="1D5305F3" w14:textId="29CC6792" w:rsidR="00AE4462" w:rsidRPr="00B54973" w:rsidRDefault="00AE4462" w:rsidP="00AE4462">
      <w:pPr>
        <w:pStyle w:val="bulletitem"/>
        <w:rPr>
          <w:lang w:eastAsia="zh-CN"/>
        </w:rPr>
      </w:pPr>
      <w:r w:rsidRPr="00B54973">
        <w:rPr>
          <w:lang w:eastAsia="zh-CN"/>
        </w:rPr>
        <w:t xml:space="preserve">Integration Phase: Utilized </w:t>
      </w:r>
      <w:proofErr w:type="spellStart"/>
      <w:r w:rsidRPr="00B54973">
        <w:rPr>
          <w:lang w:eastAsia="zh-CN"/>
        </w:rPr>
        <w:t>Gero's</w:t>
      </w:r>
      <w:proofErr w:type="spellEnd"/>
      <w:r w:rsidRPr="00B54973">
        <w:rPr>
          <w:lang w:eastAsia="zh-CN"/>
        </w:rPr>
        <w:t xml:space="preserve"> FBS framework</w:t>
      </w:r>
      <w:r w:rsidR="00BA03DE" w:rsidRPr="00B54973">
        <w:rPr>
          <w:lang w:eastAsia="zh-CN"/>
        </w:rPr>
        <w:t xml:space="preserve"> (1990)</w:t>
      </w:r>
      <w:r w:rsidRPr="00B54973">
        <w:rPr>
          <w:lang w:eastAsia="zh-CN"/>
        </w:rPr>
        <w:t xml:space="preserve"> to align functional, behavioral, and structural elements of both learning systems</w:t>
      </w:r>
    </w:p>
    <w:p w14:paraId="15180F80" w14:textId="77777777" w:rsidR="00AE4462" w:rsidRPr="00B54973" w:rsidRDefault="00AE4462" w:rsidP="00AE4462">
      <w:pPr>
        <w:pStyle w:val="bulletitem"/>
        <w:rPr>
          <w:lang w:eastAsia="zh-CN"/>
        </w:rPr>
      </w:pPr>
      <w:r w:rsidRPr="00B54973">
        <w:rPr>
          <w:lang w:eastAsia="zh-CN"/>
        </w:rPr>
        <w:t>Validation Phase: Two academic workshops (n=7 researchers) provided expert validation of the framework's explanatory power</w:t>
      </w:r>
    </w:p>
    <w:p w14:paraId="57175B45" w14:textId="77777777" w:rsidR="00AE4462" w:rsidRPr="00B54973" w:rsidRDefault="00AE4462" w:rsidP="00AE4462">
      <w:pPr>
        <w:pStyle w:val="numitem"/>
        <w:spacing w:before="0"/>
        <w:rPr>
          <w:lang w:eastAsia="zh-CN"/>
        </w:rPr>
      </w:pPr>
      <w:r w:rsidRPr="00B54973">
        <w:rPr>
          <w:lang w:eastAsia="zh-CN"/>
        </w:rPr>
        <w:t>Framework Refinement for the final framework emphasizes</w:t>
      </w:r>
    </w:p>
    <w:p w14:paraId="361541A1" w14:textId="0AAC85BD" w:rsidR="00AE4462" w:rsidRPr="00B54973" w:rsidRDefault="00AE4462" w:rsidP="00AE4462">
      <w:pPr>
        <w:pStyle w:val="bulletitem"/>
        <w:spacing w:before="0"/>
        <w:rPr>
          <w:lang w:eastAsia="zh-CN"/>
        </w:rPr>
      </w:pPr>
      <w:r w:rsidRPr="00B54973">
        <w:rPr>
          <w:lang w:eastAsia="zh-CN"/>
        </w:rPr>
        <w:t xml:space="preserve">Human-centric integration </w:t>
      </w:r>
      <w:r w:rsidR="00BA03DE" w:rsidRPr="00B54973">
        <w:t>(</w:t>
      </w:r>
      <w:r w:rsidR="00BA03DE" w:rsidRPr="00B54973">
        <w:rPr>
          <w:rFonts w:hint="eastAsia"/>
          <w:lang w:eastAsia="zh-CN"/>
        </w:rPr>
        <w:t>cf</w:t>
      </w:r>
      <w:r w:rsidR="00BA03DE" w:rsidRPr="00B54973">
        <w:t xml:space="preserve">. </w:t>
      </w:r>
      <w:proofErr w:type="spellStart"/>
      <w:r w:rsidR="00BA03DE" w:rsidRPr="00B54973">
        <w:t>Shneiderman</w:t>
      </w:r>
      <w:proofErr w:type="spellEnd"/>
      <w:r w:rsidR="00BA03DE" w:rsidRPr="00B54973">
        <w:t>, 2020; Wang et al., 2024)</w:t>
      </w:r>
    </w:p>
    <w:p w14:paraId="688395FA" w14:textId="76C07D4A" w:rsidR="00AE4462" w:rsidRPr="00B54973" w:rsidRDefault="00AE4462" w:rsidP="00AE4462">
      <w:pPr>
        <w:pStyle w:val="bulletitem"/>
        <w:rPr>
          <w:lang w:eastAsia="zh-CN"/>
        </w:rPr>
      </w:pPr>
      <w:r w:rsidRPr="00B54973">
        <w:rPr>
          <w:lang w:eastAsia="zh-CN"/>
        </w:rPr>
        <w:t>Symbiotic learning mechanisms (</w:t>
      </w:r>
      <w:r w:rsidR="00BA03DE" w:rsidRPr="00B54973">
        <w:rPr>
          <w:rFonts w:hint="eastAsia"/>
          <w:lang w:eastAsia="zh-CN"/>
        </w:rPr>
        <w:t>based</w:t>
      </w:r>
      <w:r w:rsidR="00BA03DE" w:rsidRPr="00B54973">
        <w:rPr>
          <w:lang w:eastAsia="zh-CN"/>
        </w:rPr>
        <w:t xml:space="preserve"> on </w:t>
      </w:r>
      <w:proofErr w:type="spellStart"/>
      <w:r w:rsidR="00BA03DE" w:rsidRPr="00B54973">
        <w:rPr>
          <w:lang w:eastAsia="zh-CN"/>
        </w:rPr>
        <w:t>Licklider</w:t>
      </w:r>
      <w:proofErr w:type="spellEnd"/>
      <w:r w:rsidRPr="00B54973">
        <w:rPr>
          <w:lang w:eastAsia="zh-CN"/>
        </w:rPr>
        <w:t xml:space="preserve">., </w:t>
      </w:r>
      <w:r w:rsidR="00BA03DE" w:rsidRPr="00B54973">
        <w:rPr>
          <w:lang w:eastAsia="zh-CN"/>
        </w:rPr>
        <w:t>1960; Zheng et al., 2024</w:t>
      </w:r>
      <w:r w:rsidRPr="00B54973">
        <w:rPr>
          <w:rFonts w:hint="eastAsia"/>
          <w:lang w:eastAsia="zh-CN"/>
        </w:rPr>
        <w:t>)</w:t>
      </w:r>
    </w:p>
    <w:p w14:paraId="1B1D8585" w14:textId="2BE8345A" w:rsidR="00AE4462" w:rsidRPr="00B54973" w:rsidRDefault="00AE4462" w:rsidP="00AE4462">
      <w:pPr>
        <w:pStyle w:val="bulletitem"/>
        <w:rPr>
          <w:lang w:eastAsia="zh-CN"/>
        </w:rPr>
      </w:pPr>
      <w:r w:rsidRPr="00B54973">
        <w:rPr>
          <w:lang w:eastAsia="zh-CN"/>
        </w:rPr>
        <w:t>Ethical considerations and self-regulation</w:t>
      </w:r>
    </w:p>
    <w:p w14:paraId="5697EFCB" w14:textId="77777777" w:rsidR="00AE4462" w:rsidRPr="00B54973" w:rsidRDefault="00AE4462" w:rsidP="00AE4462">
      <w:pPr>
        <w:pStyle w:val="heading1"/>
        <w:rPr>
          <w:lang w:eastAsia="zh-CN"/>
        </w:rPr>
      </w:pPr>
      <w:r w:rsidRPr="00B54973">
        <w:rPr>
          <w:lang w:eastAsia="zh-CN"/>
        </w:rPr>
        <w:t>Theoretical Origins Learning of Human, Machine, and HAI-IL Four-Layer Model</w:t>
      </w:r>
    </w:p>
    <w:p w14:paraId="1DD72C98" w14:textId="77777777" w:rsidR="00AE4462" w:rsidRPr="00B54973" w:rsidRDefault="00AE4462" w:rsidP="00AE4462">
      <w:pPr>
        <w:pStyle w:val="p1a"/>
        <w:rPr>
          <w:lang w:eastAsia="zh-CN"/>
        </w:rPr>
      </w:pPr>
      <w:r w:rsidRPr="00B54973">
        <w:rPr>
          <w:lang w:eastAsia="zh-CN"/>
        </w:rPr>
        <w:t>In order to construct a unified theoretical framework for HAI-IL, this study establishes the core conception of HAI-IL as the seamless integration of human and machine learning processes. By synthesizing the diverse theoretical origins of human learning and machine learning within a constructivist framework, we disentangle each process’s distinct characteristics and articulate a systematic four-layer model.</w:t>
      </w:r>
    </w:p>
    <w:p w14:paraId="62D681A2" w14:textId="77777777" w:rsidR="00AE4462" w:rsidRPr="00B54973" w:rsidRDefault="00AE4462" w:rsidP="00AE4462">
      <w:pPr>
        <w:pStyle w:val="heading2"/>
        <w:rPr>
          <w:lang w:eastAsia="zh-CN"/>
        </w:rPr>
      </w:pPr>
      <w:r w:rsidRPr="00B54973">
        <w:rPr>
          <w:lang w:eastAsia="zh-CN"/>
        </w:rPr>
        <w:t>The Theoretical Origins of Human Learning</w:t>
      </w:r>
    </w:p>
    <w:p w14:paraId="5A380974" w14:textId="0714D123" w:rsidR="00AE4462" w:rsidRPr="00B54973" w:rsidRDefault="00AE4462" w:rsidP="00AE4462">
      <w:pPr>
        <w:pStyle w:val="p1a"/>
        <w:rPr>
          <w:lang w:eastAsia="zh-CN"/>
        </w:rPr>
      </w:pPr>
      <w:r w:rsidRPr="00B54973">
        <w:rPr>
          <w:lang w:eastAsia="zh-CN"/>
        </w:rPr>
        <w:t>Drawing on a rich and interconnected theoretical foundation, human learning is redefined as an interactive, socially embedded, and dynamically evolving process. Within the framework of social constructivism, Vygotsky (1978) emphasizes that learning is fundamentally an interactive process, where the</w:t>
      </w:r>
      <w:r w:rsidR="00570435" w:rsidRPr="00B54973">
        <w:rPr>
          <w:lang w:eastAsia="zh-CN"/>
        </w:rPr>
        <w:t xml:space="preserve"> </w:t>
      </w:r>
      <w:r w:rsidRPr="00B54973">
        <w:rPr>
          <w:lang w:eastAsia="zh-CN"/>
        </w:rPr>
        <w:t>ZPD and scaffolding ensure that cognitive advancement is inextricably linked to external supports. Similarly, situated learning theory contends that learning transcends mere knowledge acquisition (Lave &amp; Wenger, 1991), asserting that understanding emerges from authentic, socially contextualized practice.</w:t>
      </w:r>
    </w:p>
    <w:p w14:paraId="32CF8CAB" w14:textId="77777777" w:rsidR="00AE4462" w:rsidRPr="00B54973" w:rsidRDefault="00AE4462" w:rsidP="00AE4462">
      <w:pPr>
        <w:rPr>
          <w:lang w:eastAsia="zh-CN"/>
        </w:rPr>
      </w:pPr>
      <w:r w:rsidRPr="00B54973">
        <w:rPr>
          <w:lang w:eastAsia="zh-CN"/>
        </w:rPr>
        <w:t xml:space="preserve">From a cognitive developmental perspective, Piaget’s (1952) process of assimilation, accommodation, and equilibration is reinterpreted as the gradual integration of new information into existing cognitive schemas. Complementarily, </w:t>
      </w:r>
      <w:proofErr w:type="spellStart"/>
      <w:r w:rsidRPr="00B54973">
        <w:rPr>
          <w:lang w:eastAsia="zh-CN"/>
        </w:rPr>
        <w:t>diSessa</w:t>
      </w:r>
      <w:proofErr w:type="spellEnd"/>
      <w:r w:rsidRPr="00B54973">
        <w:rPr>
          <w:lang w:eastAsia="zh-CN"/>
        </w:rPr>
        <w:t xml:space="preserve"> (1993) demonstrates that learning occurs through the reflective reorganization of fragmentary, context-specific “pieces” of knowledge, culminating in a cohesive cognitive structure.</w:t>
      </w:r>
    </w:p>
    <w:p w14:paraId="5F545AAE" w14:textId="77777777" w:rsidR="00AE4462" w:rsidRPr="00B54973" w:rsidRDefault="00AE4462" w:rsidP="00AE4462">
      <w:pPr>
        <w:rPr>
          <w:lang w:eastAsia="zh-CN"/>
        </w:rPr>
      </w:pPr>
      <w:r w:rsidRPr="00B54973">
        <w:rPr>
          <w:lang w:eastAsia="zh-CN"/>
        </w:rPr>
        <w:lastRenderedPageBreak/>
        <w:t>Metacognitive and self-regulation theories further strengthen this multidimensional view. Flavell (1979) postulates that metacognitive monitoring empowers learners to plan, adjust, and optimize task execution, while Zimmerman (1989) reveals that affect and motivation critically shape self-regulation and persistence in learning. In sum, human learning is thereby constituted by an intricate interplay among external socio-cultural factors, interactive processes (action and reflection), cognitive mechanisms (knowledge integration and strategic processing), and individual drivers (motivation and emotion).</w:t>
      </w:r>
    </w:p>
    <w:p w14:paraId="4227A7E4" w14:textId="77777777" w:rsidR="00AE4462" w:rsidRPr="00B54973" w:rsidRDefault="00AE4462" w:rsidP="00AE4462">
      <w:pPr>
        <w:rPr>
          <w:lang w:eastAsia="zh-CN"/>
        </w:rPr>
      </w:pPr>
      <w:r w:rsidRPr="00B54973">
        <w:rPr>
          <w:lang w:eastAsia="zh-CN"/>
        </w:rPr>
        <w:t>Show as Figure 2, based on these converging theories, this study proposes a four-layer model of human learning from constructivist perspective:</w:t>
      </w:r>
    </w:p>
    <w:p w14:paraId="0660B823" w14:textId="3ABE7CFD" w:rsidR="00AE4462" w:rsidRPr="00B54973" w:rsidRDefault="00AE4462" w:rsidP="00AE4462">
      <w:pPr>
        <w:pStyle w:val="bulletitem"/>
        <w:rPr>
          <w:lang w:eastAsia="zh-CN"/>
        </w:rPr>
      </w:pPr>
      <w:r w:rsidRPr="00B54973">
        <w:rPr>
          <w:lang w:eastAsia="zh-CN"/>
        </w:rPr>
        <w:t>External Layer: Encompassing the cultural, social, and contextual environment that provides essential scaffolding</w:t>
      </w:r>
      <w:r w:rsidR="00FD390B">
        <w:rPr>
          <w:lang w:eastAsia="zh-CN"/>
        </w:rPr>
        <w:t xml:space="preserve">, which is </w:t>
      </w:r>
      <w:r w:rsidRPr="00B54973">
        <w:rPr>
          <w:lang w:eastAsia="zh-CN"/>
        </w:rPr>
        <w:t>ranging from classroom instruction to teamwork and social interactions.</w:t>
      </w:r>
    </w:p>
    <w:p w14:paraId="4784D62E" w14:textId="77777777" w:rsidR="00AE4462" w:rsidRPr="00B54973" w:rsidRDefault="00AE4462" w:rsidP="00AE4462">
      <w:pPr>
        <w:pStyle w:val="bulletitem"/>
        <w:rPr>
          <w:lang w:eastAsia="zh-CN"/>
        </w:rPr>
      </w:pPr>
      <w:r w:rsidRPr="00B54973">
        <w:rPr>
          <w:lang w:eastAsia="zh-CN"/>
        </w:rPr>
        <w:t>Interactional Layer: Where learning is actualized via behavioral execution, feedback cycles, and reflective practice, thereby creating a continuous loop between action and refinement.</w:t>
      </w:r>
    </w:p>
    <w:p w14:paraId="4E1976C8" w14:textId="77777777" w:rsidR="00AE4462" w:rsidRPr="00B54973" w:rsidRDefault="00AE4462" w:rsidP="00AE4462">
      <w:pPr>
        <w:pStyle w:val="bulletitem"/>
        <w:rPr>
          <w:lang w:eastAsia="zh-CN"/>
        </w:rPr>
      </w:pPr>
      <w:r w:rsidRPr="00B54973">
        <w:rPr>
          <w:lang w:eastAsia="zh-CN"/>
        </w:rPr>
        <w:t>Cognitive Layer: Focused on knowledge acquisition, strategic application, and the formation of cognitive schemas that enable problem solving and effective knowledge transfer.</w:t>
      </w:r>
    </w:p>
    <w:p w14:paraId="41EEA8DA" w14:textId="77777777" w:rsidR="00AE4462" w:rsidRPr="00B54973" w:rsidRDefault="00AE4462" w:rsidP="00AE4462">
      <w:pPr>
        <w:pStyle w:val="bulletitem"/>
        <w:rPr>
          <w:lang w:eastAsia="zh-CN"/>
        </w:rPr>
      </w:pPr>
      <w:proofErr w:type="spellStart"/>
      <w:r w:rsidRPr="00B54973">
        <w:rPr>
          <w:lang w:eastAsia="zh-CN"/>
        </w:rPr>
        <w:t>Self Layer</w:t>
      </w:r>
      <w:proofErr w:type="spellEnd"/>
      <w:r w:rsidRPr="00B54973">
        <w:rPr>
          <w:lang w:eastAsia="zh-CN"/>
        </w:rPr>
        <w:t>: Incorporating internal drivers such as emotions, values, and motivation, which ultimately direct both the quality and trajectory of learning.</w:t>
      </w:r>
    </w:p>
    <w:p w14:paraId="7BD096FF" w14:textId="77777777" w:rsidR="00AE4462" w:rsidRPr="00B54973" w:rsidRDefault="00AE4462" w:rsidP="00AE4462">
      <w:pPr>
        <w:pStyle w:val="image"/>
        <w:rPr>
          <w:lang w:eastAsia="zh-CN"/>
        </w:rPr>
      </w:pPr>
      <w:r w:rsidRPr="00B54973">
        <w:rPr>
          <w:noProof/>
          <w:lang w:eastAsia="zh-CN"/>
        </w:rPr>
        <w:drawing>
          <wp:inline distT="0" distB="0" distL="0" distR="0" wp14:anchorId="42620F17" wp14:editId="46E9B6A7">
            <wp:extent cx="4392930" cy="1787525"/>
            <wp:effectExtent l="0" t="0" r="0" b="0"/>
            <wp:docPr id="1273776046" name="图片 8" descr="图示&#10;&#10;描述已自动生成"/>
            <wp:cNvGraphicFramePr/>
            <a:graphic xmlns:a="http://schemas.openxmlformats.org/drawingml/2006/main">
              <a:graphicData uri="http://schemas.openxmlformats.org/drawingml/2006/picture">
                <pic:pic xmlns:pic="http://schemas.openxmlformats.org/drawingml/2006/picture">
                  <pic:nvPicPr>
                    <pic:cNvPr id="1273776046" name="图片 8" descr="图示&#10;&#10;描述已自动生成"/>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92930" cy="1787525"/>
                    </a:xfrm>
                    <a:prstGeom prst="rect">
                      <a:avLst/>
                    </a:prstGeom>
                  </pic:spPr>
                </pic:pic>
              </a:graphicData>
            </a:graphic>
          </wp:inline>
        </w:drawing>
      </w:r>
    </w:p>
    <w:p w14:paraId="0C3DB2BF" w14:textId="2D4E5836" w:rsidR="00AE4462" w:rsidRPr="00B54973" w:rsidRDefault="00AE4462" w:rsidP="00AE4462">
      <w:pPr>
        <w:pStyle w:val="figurecaption"/>
        <w:rPr>
          <w:lang w:eastAsia="zh-CN"/>
        </w:rPr>
      </w:pPr>
      <w:r w:rsidRPr="00B54973">
        <w:rPr>
          <w:b/>
        </w:rPr>
        <w:t xml:space="preserve">Fig. </w:t>
      </w:r>
      <w:r w:rsidRPr="00B54973">
        <w:rPr>
          <w:b/>
        </w:rPr>
        <w:fldChar w:fldCharType="begin"/>
      </w:r>
      <w:r w:rsidRPr="00B54973">
        <w:rPr>
          <w:b/>
        </w:rPr>
        <w:instrText xml:space="preserve"> SEQ "Figure" \* MERGEFORMAT </w:instrText>
      </w:r>
      <w:r w:rsidRPr="00B54973">
        <w:rPr>
          <w:b/>
        </w:rPr>
        <w:fldChar w:fldCharType="separate"/>
      </w:r>
      <w:r w:rsidR="006E4077">
        <w:rPr>
          <w:b/>
          <w:noProof/>
        </w:rPr>
        <w:t>2</w:t>
      </w:r>
      <w:r w:rsidRPr="00B54973">
        <w:rPr>
          <w:b/>
        </w:rPr>
        <w:fldChar w:fldCharType="end"/>
      </w:r>
      <w:r w:rsidRPr="00B54973">
        <w:rPr>
          <w:b/>
        </w:rPr>
        <w:t>.</w:t>
      </w:r>
      <w:r w:rsidRPr="00B54973">
        <w:t xml:space="preserve"> Deconstructing</w:t>
      </w:r>
      <w:r w:rsidRPr="00B54973">
        <w:rPr>
          <w:lang w:eastAsia="zh-CN"/>
        </w:rPr>
        <w:t xml:space="preserve"> the Human Learning Process from a Constructivist Perspective</w:t>
      </w:r>
    </w:p>
    <w:p w14:paraId="35FEF179" w14:textId="77777777" w:rsidR="00AE4462" w:rsidRPr="00B54973" w:rsidRDefault="00AE4462" w:rsidP="00AE4462">
      <w:pPr>
        <w:pStyle w:val="heading2"/>
        <w:rPr>
          <w:lang w:eastAsia="zh-CN"/>
        </w:rPr>
      </w:pPr>
      <w:r w:rsidRPr="00B54973">
        <w:rPr>
          <w:lang w:eastAsia="zh-CN"/>
        </w:rPr>
        <w:t>The Theoretical Origins of Machine Learning</w:t>
      </w:r>
    </w:p>
    <w:p w14:paraId="10828F9E" w14:textId="23A59AFC" w:rsidR="00AE4462" w:rsidRPr="00B54973" w:rsidRDefault="00AE4462" w:rsidP="00AE4462">
      <w:pPr>
        <w:pStyle w:val="p1a"/>
        <w:rPr>
          <w:lang w:eastAsia="zh-CN"/>
        </w:rPr>
      </w:pPr>
      <w:r w:rsidRPr="00B54973">
        <w:rPr>
          <w:lang w:eastAsia="zh-CN"/>
        </w:rPr>
        <w:t>In stark contrast to the diversity and stochasticity of human learning, machine learning advances via a deterministically goal-oriented and architecturally structured trajectory. This study delineates machine learning as predicated on structured processes that balance empirical risk and model complexity</w:t>
      </w:r>
      <w:r w:rsidR="00234EC0">
        <w:rPr>
          <w:lang w:eastAsia="zh-CN"/>
        </w:rPr>
        <w:t xml:space="preserve">, </w:t>
      </w:r>
      <w:r w:rsidRPr="00B54973">
        <w:rPr>
          <w:lang w:eastAsia="zh-CN"/>
        </w:rPr>
        <w:t>anchored by statistical learning theory and the principle of Structural Risk Minimization (</w:t>
      </w:r>
      <w:proofErr w:type="spellStart"/>
      <w:r w:rsidRPr="00B54973">
        <w:rPr>
          <w:lang w:eastAsia="zh-CN"/>
        </w:rPr>
        <w:t>Vapnik</w:t>
      </w:r>
      <w:proofErr w:type="spellEnd"/>
      <w:r w:rsidRPr="00B54973">
        <w:rPr>
          <w:lang w:eastAsia="zh-CN"/>
        </w:rPr>
        <w:t xml:space="preserve">, 2013). By juxtaposing this with </w:t>
      </w:r>
      <w:r w:rsidRPr="00B54973">
        <w:rPr>
          <w:lang w:eastAsia="zh-CN"/>
        </w:rPr>
        <w:lastRenderedPageBreak/>
        <w:t>human learning, we reveal both convergences and divergences in the learning paradigm.</w:t>
      </w:r>
    </w:p>
    <w:p w14:paraId="7BCC6002" w14:textId="77777777" w:rsidR="00AE4462" w:rsidRPr="00B54973" w:rsidRDefault="00AE4462" w:rsidP="00AE4462">
      <w:pPr>
        <w:rPr>
          <w:lang w:eastAsia="zh-CN"/>
        </w:rPr>
      </w:pPr>
      <w:r w:rsidRPr="00B54973">
        <w:rPr>
          <w:lang w:eastAsia="zh-CN"/>
        </w:rPr>
        <w:t xml:space="preserve">Within the connectionist framework, Hebbian learning (Hebb, 2005) epitomizes early efforts to reify neuron connectivity through “synchronous activation,” thereby presaging the rise of deep learning. The transformative contributions of </w:t>
      </w:r>
      <w:proofErr w:type="spellStart"/>
      <w:r w:rsidRPr="00B54973">
        <w:rPr>
          <w:lang w:eastAsia="zh-CN"/>
        </w:rPr>
        <w:t>LeCun</w:t>
      </w:r>
      <w:proofErr w:type="spellEnd"/>
      <w:r w:rsidRPr="00B54973">
        <w:rPr>
          <w:lang w:eastAsia="zh-CN"/>
        </w:rPr>
        <w:t xml:space="preserve"> (2015) and colleagues have since ushered in multi-layer neural networks that automatically extract features and construct hierarchical representations, truly redefining performance benchmarks.</w:t>
      </w:r>
    </w:p>
    <w:p w14:paraId="3DA1B5BD" w14:textId="1E0EACE7" w:rsidR="00A729EB" w:rsidRPr="00B54973" w:rsidRDefault="00AE4462" w:rsidP="00A729EB">
      <w:pPr>
        <w:rPr>
          <w:lang w:eastAsia="zh-CN"/>
        </w:rPr>
      </w:pPr>
      <w:r w:rsidRPr="00B54973">
        <w:rPr>
          <w:lang w:eastAsia="zh-CN"/>
        </w:rPr>
        <w:t xml:space="preserve">Reinforcement learning, as </w:t>
      </w:r>
      <w:r w:rsidR="00570435" w:rsidRPr="00B54973">
        <w:rPr>
          <w:lang w:eastAsia="zh-CN"/>
        </w:rPr>
        <w:t>introduced</w:t>
      </w:r>
      <w:r w:rsidRPr="00B54973">
        <w:rPr>
          <w:lang w:eastAsia="zh-CN"/>
        </w:rPr>
        <w:t xml:space="preserve"> by Sutton (2018), integrates environmental reward signals with policy optimization in a manner reminiscent of human trial-and-error decision making. Moreover, the introduction of attention mechanisms</w:t>
      </w:r>
      <w:r w:rsidR="00234EC0">
        <w:rPr>
          <w:lang w:eastAsia="zh-CN"/>
        </w:rPr>
        <w:t xml:space="preserve">, </w:t>
      </w:r>
      <w:r w:rsidRPr="00B54973">
        <w:rPr>
          <w:lang w:eastAsia="zh-CN"/>
        </w:rPr>
        <w:t>central to Transformer architectures</w:t>
      </w:r>
      <w:r w:rsidR="00234EC0">
        <w:rPr>
          <w:lang w:eastAsia="zh-CN"/>
        </w:rPr>
        <w:t xml:space="preserve">, </w:t>
      </w:r>
      <w:r w:rsidRPr="00B54973">
        <w:rPr>
          <w:lang w:eastAsia="zh-CN"/>
        </w:rPr>
        <w:t xml:space="preserve">reveals a transition toward creative AI. </w:t>
      </w:r>
      <w:proofErr w:type="spellStart"/>
      <w:r w:rsidRPr="00B54973">
        <w:rPr>
          <w:lang w:eastAsia="zh-CN"/>
        </w:rPr>
        <w:t>Bengio’s</w:t>
      </w:r>
      <w:proofErr w:type="spellEnd"/>
      <w:r w:rsidRPr="00B54973">
        <w:rPr>
          <w:lang w:eastAsia="zh-CN"/>
        </w:rPr>
        <w:t xml:space="preserve"> (2017) concept of System 2 learning further anticipates the integration of higher-level symbolic reasoning into deep learning, thereby echoing the controlled cognitive processes observed in humans.</w:t>
      </w:r>
    </w:p>
    <w:p w14:paraId="6571D36A" w14:textId="77777777" w:rsidR="00A729EB" w:rsidRPr="00B54973" w:rsidRDefault="00A729EB" w:rsidP="00A729EB">
      <w:pPr>
        <w:pStyle w:val="image"/>
        <w:rPr>
          <w:lang w:eastAsia="zh-CN"/>
        </w:rPr>
      </w:pPr>
      <w:r w:rsidRPr="00B54973">
        <w:rPr>
          <w:noProof/>
          <w:lang w:eastAsia="zh-CN"/>
        </w:rPr>
        <w:drawing>
          <wp:inline distT="0" distB="0" distL="0" distR="0" wp14:anchorId="55A0931B" wp14:editId="0C3850B2">
            <wp:extent cx="4392930" cy="1905000"/>
            <wp:effectExtent l="0" t="0" r="0" b="0"/>
            <wp:docPr id="52967851" name="图片 16" descr="图示&#10;&#10;描述已自动生成"/>
            <wp:cNvGraphicFramePr/>
            <a:graphic xmlns:a="http://schemas.openxmlformats.org/drawingml/2006/main">
              <a:graphicData uri="http://schemas.openxmlformats.org/drawingml/2006/picture">
                <pic:pic xmlns:pic="http://schemas.openxmlformats.org/drawingml/2006/picture">
                  <pic:nvPicPr>
                    <pic:cNvPr id="52967851" name="图片 9" descr="图示&#10;&#10;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92930" cy="1905000"/>
                    </a:xfrm>
                    <a:prstGeom prst="rect">
                      <a:avLst/>
                    </a:prstGeom>
                  </pic:spPr>
                </pic:pic>
              </a:graphicData>
            </a:graphic>
          </wp:inline>
        </w:drawing>
      </w:r>
    </w:p>
    <w:p w14:paraId="5AC86A3D" w14:textId="1C885B5F" w:rsidR="00A729EB" w:rsidRPr="00B54973" w:rsidRDefault="00A729EB" w:rsidP="00A729EB">
      <w:pPr>
        <w:pStyle w:val="figurecaption"/>
        <w:rPr>
          <w:lang w:eastAsia="zh-CN"/>
        </w:rPr>
      </w:pPr>
      <w:r w:rsidRPr="00B54973">
        <w:rPr>
          <w:b/>
        </w:rPr>
        <w:t xml:space="preserve">Fig. </w:t>
      </w:r>
      <w:r w:rsidRPr="00B54973">
        <w:rPr>
          <w:b/>
        </w:rPr>
        <w:fldChar w:fldCharType="begin"/>
      </w:r>
      <w:r w:rsidRPr="00B54973">
        <w:rPr>
          <w:b/>
        </w:rPr>
        <w:instrText xml:space="preserve"> SEQ "Figure" \* MERGEFORMAT </w:instrText>
      </w:r>
      <w:r w:rsidRPr="00B54973">
        <w:rPr>
          <w:b/>
        </w:rPr>
        <w:fldChar w:fldCharType="separate"/>
      </w:r>
      <w:r w:rsidR="006E4077">
        <w:rPr>
          <w:b/>
          <w:noProof/>
        </w:rPr>
        <w:t>3</w:t>
      </w:r>
      <w:r w:rsidRPr="00B54973">
        <w:rPr>
          <w:b/>
        </w:rPr>
        <w:fldChar w:fldCharType="end"/>
      </w:r>
      <w:r w:rsidRPr="00B54973">
        <w:rPr>
          <w:b/>
        </w:rPr>
        <w:t>.</w:t>
      </w:r>
      <w:r w:rsidRPr="00B54973">
        <w:t xml:space="preserve"> Deconstructing</w:t>
      </w:r>
      <w:r w:rsidRPr="00B54973">
        <w:rPr>
          <w:lang w:eastAsia="zh-CN"/>
        </w:rPr>
        <w:t xml:space="preserve"> the Computational Machine Learning Process from a Constructivist Perspective</w:t>
      </w:r>
    </w:p>
    <w:p w14:paraId="1FDDCA0A" w14:textId="77777777" w:rsidR="00AE4462" w:rsidRPr="00B54973" w:rsidRDefault="00AE4462" w:rsidP="00A729EB">
      <w:pPr>
        <w:ind w:firstLine="0"/>
        <w:rPr>
          <w:lang w:eastAsia="zh-CN"/>
        </w:rPr>
      </w:pPr>
      <w:r w:rsidRPr="00B54973">
        <w:rPr>
          <w:lang w:eastAsia="zh-CN"/>
        </w:rPr>
        <w:t>Viewed holistically from a constructivist perspective, modern machine learning is reconfigured into a four-layer model analogous to that of human learning (Fig.3):</w:t>
      </w:r>
    </w:p>
    <w:p w14:paraId="1A9C9FD3" w14:textId="77777777" w:rsidR="00AE4462" w:rsidRPr="00B54973" w:rsidRDefault="00AE4462" w:rsidP="00AE4462">
      <w:pPr>
        <w:pStyle w:val="bulletitem"/>
        <w:rPr>
          <w:lang w:eastAsia="zh-CN"/>
        </w:rPr>
      </w:pPr>
      <w:r w:rsidRPr="00B54973">
        <w:rPr>
          <w:lang w:eastAsia="zh-CN"/>
        </w:rPr>
        <w:t>External Layer: Initiated by multimodal data inputs (e.g., text, images, speech) that form the foundation for algorithmic analysis.</w:t>
      </w:r>
    </w:p>
    <w:p w14:paraId="05AC325B" w14:textId="77777777" w:rsidR="00AE4462" w:rsidRPr="00B54973" w:rsidRDefault="00AE4462" w:rsidP="00AE4462">
      <w:pPr>
        <w:pStyle w:val="bulletitem"/>
        <w:rPr>
          <w:lang w:eastAsia="zh-CN"/>
        </w:rPr>
      </w:pPr>
      <w:r w:rsidRPr="00B54973">
        <w:rPr>
          <w:lang w:eastAsia="zh-CN"/>
        </w:rPr>
        <w:t>Interactional Layer: Characterized by iterative loops of prediction, output generation, and error-driven feedback that continually refine the model.</w:t>
      </w:r>
    </w:p>
    <w:p w14:paraId="3A147239" w14:textId="77777777" w:rsidR="00AE4462" w:rsidRPr="00B54973" w:rsidRDefault="00AE4462" w:rsidP="00AE4462">
      <w:pPr>
        <w:pStyle w:val="bulletitem"/>
        <w:rPr>
          <w:lang w:eastAsia="zh-CN"/>
        </w:rPr>
      </w:pPr>
      <w:r w:rsidRPr="00B54973">
        <w:rPr>
          <w:lang w:eastAsia="zh-CN"/>
        </w:rPr>
        <w:t>Cognitive Layer: Concerned with feature extraction, parameter adjustment, and the activation of sophisticated attention mechanisms that facilitate abstract representations.</w:t>
      </w:r>
    </w:p>
    <w:p w14:paraId="3D6ED225" w14:textId="38B8569B" w:rsidR="00AE4462" w:rsidRPr="00B54973" w:rsidRDefault="00AE4462" w:rsidP="00AE4462">
      <w:pPr>
        <w:pStyle w:val="bulletitem"/>
        <w:rPr>
          <w:lang w:eastAsia="zh-CN"/>
        </w:rPr>
      </w:pPr>
      <w:proofErr w:type="spellStart"/>
      <w:r w:rsidRPr="00B54973">
        <w:rPr>
          <w:lang w:eastAsia="zh-CN"/>
        </w:rPr>
        <w:t>Self Layer</w:t>
      </w:r>
      <w:proofErr w:type="spellEnd"/>
      <w:r w:rsidRPr="00B54973">
        <w:rPr>
          <w:lang w:eastAsia="zh-CN"/>
        </w:rPr>
        <w:t>: Although comparatively limited</w:t>
      </w:r>
      <w:r w:rsidR="00234EC0">
        <w:rPr>
          <w:lang w:eastAsia="zh-CN"/>
        </w:rPr>
        <w:t xml:space="preserve"> (</w:t>
      </w:r>
      <w:r w:rsidRPr="00B54973">
        <w:rPr>
          <w:lang w:eastAsia="zh-CN"/>
        </w:rPr>
        <w:t>reflecting the implicit optimization of objective functions and strategy-driven refinements</w:t>
      </w:r>
      <w:r w:rsidR="00234EC0">
        <w:rPr>
          <w:lang w:eastAsia="zh-CN"/>
        </w:rPr>
        <w:t xml:space="preserve">), </w:t>
      </w:r>
      <w:r w:rsidRPr="00B54973">
        <w:rPr>
          <w:lang w:eastAsia="zh-CN"/>
        </w:rPr>
        <w:t>it lacks the emotive and motivational qualities intrinsic to human self-regulation.</w:t>
      </w:r>
    </w:p>
    <w:p w14:paraId="0667AE12" w14:textId="77777777" w:rsidR="00AE4462" w:rsidRPr="00B54973" w:rsidRDefault="00AE4462" w:rsidP="00AE4462">
      <w:pPr>
        <w:pStyle w:val="heading2"/>
        <w:rPr>
          <w:lang w:eastAsia="zh-CN"/>
        </w:rPr>
      </w:pPr>
      <w:r w:rsidRPr="00B54973">
        <w:rPr>
          <w:lang w:eastAsia="zh-CN"/>
        </w:rPr>
        <w:lastRenderedPageBreak/>
        <w:t>The Historical Trajectory of Human–AI Integration</w:t>
      </w:r>
    </w:p>
    <w:p w14:paraId="528DA4B5" w14:textId="058A894A" w:rsidR="00AE4462" w:rsidRPr="00B54973" w:rsidRDefault="00AE4462" w:rsidP="00AE4462">
      <w:pPr>
        <w:pStyle w:val="p1a"/>
        <w:rPr>
          <w:lang w:eastAsia="zh-CN"/>
        </w:rPr>
      </w:pPr>
      <w:r w:rsidRPr="00B54973">
        <w:rPr>
          <w:lang w:eastAsia="zh-CN"/>
        </w:rPr>
        <w:t>Existing research establishes the core conception of Human–AI integration as a developmental continuum, from basic human–machine interaction to full symbiotic fusion. Sowa et al. (2021) delineated a four</w:t>
      </w:r>
      <w:r w:rsidRPr="00B54973">
        <w:rPr>
          <w:rFonts w:hint="eastAsia"/>
          <w:lang w:eastAsia="zh-CN"/>
        </w:rPr>
        <w:t>‐</w:t>
      </w:r>
      <w:r w:rsidRPr="00B54973">
        <w:rPr>
          <w:lang w:eastAsia="zh-CN"/>
        </w:rPr>
        <w:t>stage evolution, from mere interaction to deep integration culminating in a human–machine hybrid state</w:t>
      </w:r>
      <w:r w:rsidR="00234EC0">
        <w:rPr>
          <w:lang w:eastAsia="zh-CN"/>
        </w:rPr>
        <w:t xml:space="preserve">, </w:t>
      </w:r>
      <w:r w:rsidRPr="00B54973">
        <w:rPr>
          <w:lang w:eastAsia="zh-CN"/>
        </w:rPr>
        <w:t>while Zhang et al. (2022) further refined this progression by charting a course from trust-building to complete human–AI symbiosis, thereby emphasizing a collaborative framework that preserves the distinctive strengths of both entities.</w:t>
      </w:r>
    </w:p>
    <w:p w14:paraId="1EF48820" w14:textId="77777777" w:rsidR="00AE4462" w:rsidRPr="00B54973" w:rsidRDefault="00AE4462" w:rsidP="00AE4462">
      <w:pPr>
        <w:pStyle w:val="image"/>
        <w:rPr>
          <w:lang w:eastAsia="zh-CN"/>
        </w:rPr>
      </w:pPr>
      <w:r w:rsidRPr="00B54973">
        <w:rPr>
          <w:rFonts w:hint="eastAsia"/>
          <w:noProof/>
          <w:lang w:eastAsia="zh-CN"/>
        </w:rPr>
        <w:drawing>
          <wp:inline distT="0" distB="0" distL="0" distR="0" wp14:anchorId="4C575076" wp14:editId="4CB69C74">
            <wp:extent cx="4392930" cy="876935"/>
            <wp:effectExtent l="0" t="0" r="1270" b="0"/>
            <wp:docPr id="2004367017" name="图片 10" descr="图示&#10;&#10;描述已自动生成"/>
            <wp:cNvGraphicFramePr/>
            <a:graphic xmlns:a="http://schemas.openxmlformats.org/drawingml/2006/main">
              <a:graphicData uri="http://schemas.openxmlformats.org/drawingml/2006/picture">
                <pic:pic xmlns:pic="http://schemas.openxmlformats.org/drawingml/2006/picture">
                  <pic:nvPicPr>
                    <pic:cNvPr id="2004367017" name="图片 10" descr="图示&#10;&#10;描述已自动生成"/>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92930" cy="876935"/>
                    </a:xfrm>
                    <a:prstGeom prst="rect">
                      <a:avLst/>
                    </a:prstGeom>
                  </pic:spPr>
                </pic:pic>
              </a:graphicData>
            </a:graphic>
          </wp:inline>
        </w:drawing>
      </w:r>
    </w:p>
    <w:p w14:paraId="2616FB55" w14:textId="6D09E6AE" w:rsidR="00AE4462" w:rsidRPr="00B54973" w:rsidRDefault="00AE4462" w:rsidP="00AE4462">
      <w:pPr>
        <w:pStyle w:val="figurecaption"/>
        <w:rPr>
          <w:lang w:eastAsia="zh-CN"/>
        </w:rPr>
      </w:pPr>
      <w:r w:rsidRPr="00B54973">
        <w:rPr>
          <w:b/>
        </w:rPr>
        <w:t xml:space="preserve">Fig. </w:t>
      </w:r>
      <w:r w:rsidRPr="00B54973">
        <w:rPr>
          <w:b/>
        </w:rPr>
        <w:fldChar w:fldCharType="begin"/>
      </w:r>
      <w:r w:rsidRPr="00B54973">
        <w:rPr>
          <w:b/>
        </w:rPr>
        <w:instrText xml:space="preserve"> SEQ "Figure" \* MERGEFORMAT </w:instrText>
      </w:r>
      <w:r w:rsidRPr="00B54973">
        <w:rPr>
          <w:b/>
        </w:rPr>
        <w:fldChar w:fldCharType="separate"/>
      </w:r>
      <w:r w:rsidR="006E4077">
        <w:rPr>
          <w:b/>
          <w:noProof/>
        </w:rPr>
        <w:t>4</w:t>
      </w:r>
      <w:r w:rsidRPr="00B54973">
        <w:rPr>
          <w:b/>
        </w:rPr>
        <w:fldChar w:fldCharType="end"/>
      </w:r>
      <w:r w:rsidRPr="00B54973">
        <w:rPr>
          <w:b/>
        </w:rPr>
        <w:t>.</w:t>
      </w:r>
      <w:r w:rsidRPr="00B54973">
        <w:t xml:space="preserve"> The</w:t>
      </w:r>
      <w:r w:rsidRPr="00B54973">
        <w:rPr>
          <w:lang w:eastAsia="zh-CN"/>
        </w:rPr>
        <w:t xml:space="preserve"> Four-Stage Evolution from Interaction to Deep Integration </w:t>
      </w:r>
      <w:r w:rsidR="0099582F">
        <w:rPr>
          <w:lang w:eastAsia="zh-CN"/>
        </w:rPr>
        <w:t>(</w:t>
      </w:r>
      <w:r w:rsidRPr="00B54973">
        <w:rPr>
          <w:lang w:eastAsia="zh-CN"/>
        </w:rPr>
        <w:t>Sowa et al.</w:t>
      </w:r>
      <w:r w:rsidR="0099582F">
        <w:rPr>
          <w:lang w:eastAsia="zh-CN"/>
        </w:rPr>
        <w:t xml:space="preserve">, </w:t>
      </w:r>
      <w:r w:rsidRPr="00B54973">
        <w:rPr>
          <w:lang w:eastAsia="zh-CN"/>
        </w:rPr>
        <w:t>2021)</w:t>
      </w:r>
    </w:p>
    <w:p w14:paraId="5AB4BF33" w14:textId="77777777" w:rsidR="00AE4462" w:rsidRPr="00B54973" w:rsidRDefault="00AE4462" w:rsidP="00AE4462">
      <w:pPr>
        <w:pStyle w:val="p1a"/>
        <w:rPr>
          <w:lang w:eastAsia="zh-CN"/>
        </w:rPr>
      </w:pPr>
      <w:r w:rsidRPr="00B54973">
        <w:rPr>
          <w:lang w:eastAsia="zh-CN"/>
        </w:rPr>
        <w:t xml:space="preserve">Crucially, this evolutionary process is inherently dynamic, necessitating constant adaptation and recalibration by both human actors and AI systems. Almeida and Senapati (2024) outline guidelines that underscore model </w:t>
      </w:r>
      <w:proofErr w:type="spellStart"/>
      <w:r w:rsidRPr="00B54973">
        <w:rPr>
          <w:lang w:eastAsia="zh-CN"/>
        </w:rPr>
        <w:t>explainability</w:t>
      </w:r>
      <w:proofErr w:type="spellEnd"/>
      <w:r w:rsidRPr="00B54973">
        <w:rPr>
          <w:lang w:eastAsia="zh-CN"/>
        </w:rPr>
        <w:t>, trust cultivation, transparency in decision-making, and strict alignment with human values. Their principle of maintaining human primacy in critical decisions safeguards ethical considerations and, when integrated into learning frameworks, significantly advances the development of Human–AI Integrated Learning systems (cf. Yan et al., 2024).</w:t>
      </w:r>
    </w:p>
    <w:p w14:paraId="6317E0C4" w14:textId="7D52887D" w:rsidR="00AE4462" w:rsidRPr="00B54973" w:rsidRDefault="00AE4462" w:rsidP="00AE4462">
      <w:pPr>
        <w:rPr>
          <w:lang w:eastAsia="zh-CN"/>
        </w:rPr>
      </w:pPr>
      <w:r w:rsidRPr="00B54973">
        <w:rPr>
          <w:lang w:eastAsia="zh-CN"/>
        </w:rPr>
        <w:t xml:space="preserve">Within this context, our study employs a constructivist lens to conceptualize human and AI as a seamless, unified entity interacting with the external world. These insights not only trace the historical and theoretical trajectories of human and machine learning but also underscore the imperative for an integrated framework that harmonizes their distinctive attributes. By aligning structured algorithmic learning with the dynamic, context-sensitive processes of human cognition, </w:t>
      </w:r>
      <w:r w:rsidR="00A729EB" w:rsidRPr="00B54973">
        <w:rPr>
          <w:lang w:eastAsia="zh-CN"/>
        </w:rPr>
        <w:t xml:space="preserve">HAI-IL </w:t>
      </w:r>
      <w:r w:rsidRPr="00B54973">
        <w:rPr>
          <w:lang w:eastAsia="zh-CN"/>
        </w:rPr>
        <w:t>promises robust, human-cent</w:t>
      </w:r>
      <w:r w:rsidR="00A729EB" w:rsidRPr="00B54973">
        <w:rPr>
          <w:lang w:eastAsia="zh-CN"/>
        </w:rPr>
        <w:t>ered</w:t>
      </w:r>
      <w:r w:rsidRPr="00B54973">
        <w:rPr>
          <w:lang w:eastAsia="zh-CN"/>
        </w:rPr>
        <w:t xml:space="preserve"> applications that serve both societal and individual aspirations.</w:t>
      </w:r>
    </w:p>
    <w:p w14:paraId="2616A5DB" w14:textId="77777777" w:rsidR="00AE4462" w:rsidRPr="00B54973" w:rsidRDefault="00AE4462" w:rsidP="00AE4462">
      <w:pPr>
        <w:pStyle w:val="heading2"/>
        <w:rPr>
          <w:lang w:eastAsia="zh-CN"/>
        </w:rPr>
      </w:pPr>
      <w:r w:rsidRPr="00B54973">
        <w:rPr>
          <w:lang w:eastAsia="zh-CN"/>
        </w:rPr>
        <w:t>Theoretical Integration: A Proposed Model for Human–AI Integrated Learning</w:t>
      </w:r>
    </w:p>
    <w:p w14:paraId="42621A22" w14:textId="77777777" w:rsidR="00234EC0" w:rsidRPr="005924A2" w:rsidRDefault="00234EC0" w:rsidP="005924A2">
      <w:pPr>
        <w:pStyle w:val="p1a"/>
      </w:pPr>
      <w:r w:rsidRPr="005924A2">
        <w:t xml:space="preserve">Drawing upon Extended Cognition Theory (Clark &amp; Chalmers, 2010), this study postulates a dual-channel conception of cognition as a bidirectional extension of cognitive scaffolding. Humans offload cognitive tasks (e.g., externalizing memory, pattern recognition) to AI, while AI builds semantic frameworks through human feedback. This dynamic echoes </w:t>
      </w:r>
      <w:proofErr w:type="spellStart"/>
      <w:r w:rsidRPr="005924A2">
        <w:t>Bengio’s</w:t>
      </w:r>
      <w:proofErr w:type="spellEnd"/>
      <w:r w:rsidRPr="005924A2">
        <w:t xml:space="preserve"> (2017) System 2 paradigm, which unifies an “intuitive system” (neural networks) with a “reasoning system” (symbolic operations) to mirror the human duality of automatic and controlled processing.</w:t>
      </w:r>
    </w:p>
    <w:p w14:paraId="7BCD90D0" w14:textId="4A7EB4FA" w:rsidR="00AE4462" w:rsidRPr="005924A2" w:rsidRDefault="00AE4462" w:rsidP="005924A2">
      <w:r w:rsidRPr="005924A2">
        <w:t>Within our constructivist four-dimensional framework, human–machine synergy materializes on two levels.</w:t>
      </w:r>
    </w:p>
    <w:p w14:paraId="1839637E" w14:textId="77777777" w:rsidR="00AE4462" w:rsidRPr="00B54973" w:rsidRDefault="00AE4462" w:rsidP="00AE4462">
      <w:pPr>
        <w:pStyle w:val="bulletitem"/>
        <w:rPr>
          <w:lang w:eastAsia="zh-CN"/>
        </w:rPr>
      </w:pPr>
      <w:r w:rsidRPr="00B54973">
        <w:lastRenderedPageBreak/>
        <w:t>Interactional Layer (Cognitive Extension Perspective):</w:t>
      </w:r>
    </w:p>
    <w:p w14:paraId="6CAA89D9" w14:textId="77777777" w:rsidR="00AE4462" w:rsidRPr="00B54973" w:rsidRDefault="00AE4462" w:rsidP="00AE4462">
      <w:pPr>
        <w:pStyle w:val="bulletitem"/>
        <w:numPr>
          <w:ilvl w:val="1"/>
          <w:numId w:val="1"/>
        </w:numPr>
        <w:rPr>
          <w:lang w:eastAsia="zh-CN"/>
        </w:rPr>
      </w:pPr>
      <w:r w:rsidRPr="00B54973">
        <w:rPr>
          <w:lang w:eastAsia="zh-CN"/>
        </w:rPr>
        <w:t>Both human apprenticeship and AI imitation rely on cognitive scaffolding.</w:t>
      </w:r>
    </w:p>
    <w:p w14:paraId="6577490F" w14:textId="77777777" w:rsidR="00AE4462" w:rsidRPr="00B54973" w:rsidRDefault="00AE4462" w:rsidP="00AE4462">
      <w:pPr>
        <w:pStyle w:val="bulletitem"/>
        <w:numPr>
          <w:ilvl w:val="1"/>
          <w:numId w:val="1"/>
        </w:numPr>
        <w:rPr>
          <w:lang w:eastAsia="zh-CN"/>
        </w:rPr>
      </w:pPr>
      <w:r w:rsidRPr="00B54973">
        <w:rPr>
          <w:lang w:eastAsia="zh-CN"/>
        </w:rPr>
        <w:t>In line with Extended Cognition, AI acts as an active agent co-constructing shared intentions (</w:t>
      </w:r>
      <w:proofErr w:type="spellStart"/>
      <w:r w:rsidRPr="00B54973">
        <w:rPr>
          <w:lang w:eastAsia="zh-CN"/>
        </w:rPr>
        <w:t>Tomasello</w:t>
      </w:r>
      <w:proofErr w:type="spellEnd"/>
      <w:r w:rsidRPr="00B54973">
        <w:rPr>
          <w:lang w:eastAsia="zh-CN"/>
        </w:rPr>
        <w:t>, 2014).</w:t>
      </w:r>
    </w:p>
    <w:p w14:paraId="2C3AAEC6" w14:textId="77777777" w:rsidR="00AE4462" w:rsidRPr="00B54973" w:rsidRDefault="00AE4462" w:rsidP="00AE4462">
      <w:pPr>
        <w:pStyle w:val="bulletitem"/>
        <w:numPr>
          <w:ilvl w:val="1"/>
          <w:numId w:val="1"/>
        </w:numPr>
        <w:rPr>
          <w:lang w:eastAsia="zh-CN"/>
        </w:rPr>
      </w:pPr>
      <w:r w:rsidRPr="00B54973">
        <w:rPr>
          <w:lang w:eastAsia="zh-CN"/>
        </w:rPr>
        <w:t>In multi-agent reinforcement learning, human demonstration data underpins AI’s “social cognitive schema.”</w:t>
      </w:r>
    </w:p>
    <w:p w14:paraId="624FB21A" w14:textId="77777777" w:rsidR="00AE4462" w:rsidRPr="00B54973" w:rsidRDefault="00AE4462" w:rsidP="00AE4462">
      <w:pPr>
        <w:pStyle w:val="bulletitem"/>
      </w:pPr>
      <w:r w:rsidRPr="00B54973">
        <w:t>Cognitive Layer (System 2 Integration Perspective):</w:t>
      </w:r>
    </w:p>
    <w:p w14:paraId="267076EC" w14:textId="77777777" w:rsidR="00AE4462" w:rsidRPr="00B54973" w:rsidRDefault="00AE4462" w:rsidP="00AE4462">
      <w:pPr>
        <w:pStyle w:val="bulletitem"/>
        <w:numPr>
          <w:ilvl w:val="1"/>
          <w:numId w:val="1"/>
        </w:numPr>
        <w:rPr>
          <w:lang w:eastAsia="zh-CN"/>
        </w:rPr>
      </w:pPr>
      <w:r w:rsidRPr="00B54973">
        <w:rPr>
          <w:lang w:eastAsia="zh-CN"/>
        </w:rPr>
        <w:t>Human working memory limits and AI attention mechanisms follow similar resource optimization principles.</w:t>
      </w:r>
    </w:p>
    <w:p w14:paraId="438F0FA7" w14:textId="77777777" w:rsidR="00AE4462" w:rsidRPr="00B54973" w:rsidRDefault="00AE4462" w:rsidP="00AE4462">
      <w:pPr>
        <w:pStyle w:val="bulletitem"/>
        <w:numPr>
          <w:ilvl w:val="1"/>
          <w:numId w:val="1"/>
        </w:numPr>
        <w:rPr>
          <w:lang w:eastAsia="zh-CN"/>
        </w:rPr>
      </w:pPr>
      <w:proofErr w:type="spellStart"/>
      <w:r w:rsidRPr="00B54973">
        <w:rPr>
          <w:lang w:eastAsia="zh-CN"/>
        </w:rPr>
        <w:t>Bengio’s</w:t>
      </w:r>
      <w:proofErr w:type="spellEnd"/>
      <w:r w:rsidRPr="00B54973">
        <w:rPr>
          <w:lang w:eastAsia="zh-CN"/>
        </w:rPr>
        <w:t xml:space="preserve"> (2017) System 2 posits an isomorphism: neural network attention gating parallels the human central executive’s resource allocation.</w:t>
      </w:r>
    </w:p>
    <w:p w14:paraId="67746A3D" w14:textId="39581763" w:rsidR="00234EC0" w:rsidRPr="00234EC0" w:rsidRDefault="00234EC0" w:rsidP="00234EC0">
      <w:pPr>
        <w:pStyle w:val="bulletitem"/>
        <w:numPr>
          <w:ilvl w:val="1"/>
          <w:numId w:val="1"/>
        </w:numPr>
        <w:rPr>
          <w:lang w:eastAsia="zh-CN"/>
        </w:rPr>
      </w:pPr>
      <w:r>
        <w:rPr>
          <w:lang w:eastAsia="zh-CN"/>
        </w:rPr>
        <w:t>Conceptual reorganization appears in both human cognition-integrating context-specific "knowledge fragments" (</w:t>
      </w:r>
      <w:proofErr w:type="spellStart"/>
      <w:r>
        <w:rPr>
          <w:lang w:eastAsia="zh-CN"/>
        </w:rPr>
        <w:t>diSessa</w:t>
      </w:r>
      <w:proofErr w:type="spellEnd"/>
      <w:r>
        <w:rPr>
          <w:lang w:eastAsia="zh-CN"/>
        </w:rPr>
        <w:t>, 1993)-and in AI through representational reparameterization, with both exhibiting topological transformations in their cognitive schemas.</w:t>
      </w:r>
    </w:p>
    <w:p w14:paraId="36F2F992" w14:textId="2EF876DA" w:rsidR="005924A2" w:rsidRPr="00273FDA" w:rsidRDefault="00273FDA" w:rsidP="005924A2">
      <w:pPr>
        <w:pStyle w:val="bulletitem"/>
        <w:numPr>
          <w:ilvl w:val="0"/>
          <w:numId w:val="0"/>
        </w:numPr>
        <w:ind w:left="227" w:hanging="227"/>
        <w:rPr>
          <w:lang w:eastAsia="zh-CN"/>
        </w:rPr>
      </w:pPr>
      <w:r>
        <w:rPr>
          <w:noProof/>
          <w:lang w:eastAsia="zh-CN"/>
        </w:rPr>
        <w:drawing>
          <wp:inline distT="0" distB="0" distL="0" distR="0" wp14:anchorId="0CF464C3" wp14:editId="5C986770">
            <wp:extent cx="4392930" cy="2582545"/>
            <wp:effectExtent l="0" t="0" r="0" b="0"/>
            <wp:docPr id="18543743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7431" name="图片 1" descr="图示&#10;&#10;描述已自动生成"/>
                    <pic:cNvPicPr/>
                  </pic:nvPicPr>
                  <pic:blipFill>
                    <a:blip r:embed="rId11">
                      <a:extLst>
                        <a:ext uri="{28A0092B-C50C-407E-A947-70E740481C1C}">
                          <a14:useLocalDpi xmlns:a14="http://schemas.microsoft.com/office/drawing/2010/main" val="0"/>
                        </a:ext>
                      </a:extLst>
                    </a:blip>
                    <a:stretch>
                      <a:fillRect/>
                    </a:stretch>
                  </pic:blipFill>
                  <pic:spPr>
                    <a:xfrm>
                      <a:off x="0" y="0"/>
                      <a:ext cx="4392930" cy="2582545"/>
                    </a:xfrm>
                    <a:prstGeom prst="rect">
                      <a:avLst/>
                    </a:prstGeom>
                  </pic:spPr>
                </pic:pic>
              </a:graphicData>
            </a:graphic>
          </wp:inline>
        </w:drawing>
      </w:r>
    </w:p>
    <w:p w14:paraId="4383EB9F" w14:textId="48A908CB" w:rsidR="005924A2" w:rsidRPr="005924A2" w:rsidRDefault="005924A2" w:rsidP="00234EC0">
      <w:pPr>
        <w:pStyle w:val="bulletitem"/>
        <w:rPr>
          <w:lang w:eastAsia="zh-CN"/>
        </w:rPr>
      </w:pPr>
      <w:r w:rsidRPr="00B54973">
        <w:rPr>
          <w:b/>
        </w:rPr>
        <w:t xml:space="preserve">Fig. </w:t>
      </w:r>
      <w:r w:rsidRPr="00B54973">
        <w:rPr>
          <w:b/>
        </w:rPr>
        <w:fldChar w:fldCharType="begin"/>
      </w:r>
      <w:r w:rsidRPr="00B54973">
        <w:rPr>
          <w:b/>
        </w:rPr>
        <w:instrText xml:space="preserve"> SEQ "Figure" \* MERGEFORMAT </w:instrText>
      </w:r>
      <w:r w:rsidRPr="00B54973">
        <w:rPr>
          <w:b/>
        </w:rPr>
        <w:fldChar w:fldCharType="separate"/>
      </w:r>
      <w:r w:rsidR="006E4077">
        <w:rPr>
          <w:b/>
          <w:noProof/>
        </w:rPr>
        <w:t>5</w:t>
      </w:r>
      <w:r w:rsidRPr="00B54973">
        <w:rPr>
          <w:b/>
        </w:rPr>
        <w:fldChar w:fldCharType="end"/>
      </w:r>
      <w:r w:rsidRPr="00B54973">
        <w:rPr>
          <w:b/>
        </w:rPr>
        <w:t>.</w:t>
      </w:r>
      <w:r w:rsidRPr="00B54973">
        <w:t xml:space="preserve"> </w:t>
      </w:r>
      <w:bookmarkStart w:id="4" w:name="OLE_LINK3"/>
      <w:bookmarkStart w:id="5" w:name="OLE_LINK4"/>
      <w:r w:rsidRPr="00B54973">
        <w:t>Human-AI</w:t>
      </w:r>
      <w:r w:rsidRPr="00B54973">
        <w:rPr>
          <w:lang w:eastAsia="zh-CN"/>
        </w:rPr>
        <w:t xml:space="preserve"> Integrated Learning Process from a Constructivist Perspective</w:t>
      </w:r>
      <w:bookmarkEnd w:id="4"/>
      <w:bookmarkEnd w:id="5"/>
    </w:p>
    <w:p w14:paraId="50505539" w14:textId="6F2A441C" w:rsidR="00A729EB" w:rsidRPr="00B54973" w:rsidRDefault="00234EC0" w:rsidP="00234EC0">
      <w:pPr>
        <w:pStyle w:val="p1a"/>
        <w:rPr>
          <w:lang w:eastAsia="zh-CN"/>
        </w:rPr>
      </w:pPr>
      <w:r w:rsidRPr="00234EC0">
        <w:rPr>
          <w:lang w:eastAsia="zh-CN"/>
        </w:rPr>
        <w:t>This dual-dimensional correspondence establishes the foundation for a four-layer integrated HAI model. When the four mechanism layers of human learning (Self, Cognitive, Interaction, External) resonate with corresponding layers in machine learning (Adaptive Optimization, Representation Learning, Interaction Protocol, Environmental Coupling), a cognitive symbiosis is forged that transcends mere functional aggregation.</w:t>
      </w:r>
    </w:p>
    <w:p w14:paraId="186FBF75" w14:textId="6D34F568" w:rsidR="00AE4462" w:rsidRPr="00234EC0" w:rsidRDefault="00AE4462" w:rsidP="00234EC0">
      <w:pPr>
        <w:rPr>
          <w:lang w:eastAsia="zh-CN"/>
        </w:rPr>
      </w:pPr>
      <w:r w:rsidRPr="00B54973">
        <w:rPr>
          <w:lang w:eastAsia="zh-CN"/>
        </w:rPr>
        <w:t>Figure 5 illustrates a deep mapping of species-specific cognitive frameworks. Grounded in social constructivist theories and a human-centered philosophy, this integrative model envisions both human and AI components participating in a unified learning process influenced by external environments, socio-cultural contexts, and multimodal data inputs. For instance, in task-specific scenarios (</w:t>
      </w:r>
      <w:r w:rsidR="00A729EB" w:rsidRPr="00B54973">
        <w:rPr>
          <w:lang w:eastAsia="zh-CN"/>
        </w:rPr>
        <w:t>such as</w:t>
      </w:r>
      <w:r w:rsidRPr="00B54973">
        <w:rPr>
          <w:lang w:eastAsia="zh-CN"/>
        </w:rPr>
        <w:t xml:space="preserve"> design demonstrated </w:t>
      </w:r>
      <w:r w:rsidRPr="00B54973">
        <w:rPr>
          <w:lang w:eastAsia="zh-CN"/>
        </w:rPr>
        <w:lastRenderedPageBreak/>
        <w:t xml:space="preserve">by Zheng et al., 2024), AI functions as a knowledge supplier to enhance human capabilities while learners iteratively refine AI outputs through continuous feedback. In this model, human learning elements are depicted in green and AI’s computational components in yellow. At the interactional level, humans engage with their environment through behavior and performance, while AI operates via input/output cycles, prediction, and additional protocols. Through such interaction, the integrated cognitive layer is enriched with human experiential knowledge, metacognitive insights, and AI-derived features. </w:t>
      </w:r>
      <w:r w:rsidR="00234EC0" w:rsidRPr="00234EC0">
        <w:rPr>
          <w:lang w:eastAsia="zh-CN"/>
        </w:rPr>
        <w:t>Notwithstanding the automation, a human-centered approach mandates that the Self layer preserve the primacy of human emotions, thoughts, and self-regulation; this imperative must remain unequivocal.</w:t>
      </w:r>
    </w:p>
    <w:p w14:paraId="39F362BB" w14:textId="34CEBF82" w:rsidR="00F22DB5" w:rsidRPr="00B54973" w:rsidRDefault="00F22DB5" w:rsidP="00313E58">
      <w:pPr>
        <w:pStyle w:val="heading2"/>
      </w:pPr>
      <w:r w:rsidRPr="00B54973">
        <w:t>Co-evolution</w:t>
      </w:r>
      <w:r w:rsidR="00313E58" w:rsidRPr="00B54973">
        <w:t xml:space="preserve"> and Complementarity of HAI-IL</w:t>
      </w:r>
    </w:p>
    <w:p w14:paraId="491F6012" w14:textId="5645F97B" w:rsidR="00F22DB5" w:rsidRPr="00B54973" w:rsidRDefault="00F22DB5" w:rsidP="00F22DB5">
      <w:pPr>
        <w:ind w:firstLine="0"/>
      </w:pPr>
      <w:r w:rsidRPr="00B54973">
        <w:t>Human–AI co-evolution is anchored in dynamic cognitive fusion. HAI systems establish a bidirectional “learners become teachers” mechanism. When AI exceeds current human capabilities, humans internalize its representational knowledge through imitation learning; when human expertise predominates, AI refines its parameters via reinforcement learning. This task-driven calibration unfolds in three spiraling stages:</w:t>
      </w:r>
    </w:p>
    <w:p w14:paraId="53B57EF6" w14:textId="79FF0714" w:rsidR="00F22DB5" w:rsidRPr="00B54973" w:rsidRDefault="00F22DB5" w:rsidP="00F22DB5">
      <w:pPr>
        <w:pStyle w:val="bulletitem"/>
      </w:pPr>
      <w:r w:rsidRPr="00B54973">
        <w:t>Directional Setting: Humans define evolutionary goals (via values and motivation) while AI generates multidimensional solution spaces through collective intelligence</w:t>
      </w:r>
      <w:r w:rsidR="00712E72" w:rsidRPr="00B54973">
        <w:t xml:space="preserve"> (such as </w:t>
      </w:r>
      <w:proofErr w:type="spellStart"/>
      <w:r w:rsidR="00712E72" w:rsidRPr="00B54973">
        <w:t>DeepSeek</w:t>
      </w:r>
      <w:proofErr w:type="spellEnd"/>
      <w:r w:rsidR="00712E72" w:rsidRPr="00B54973">
        <w:t xml:space="preserve"> R1’s rewards guidance training, Guo et al, 2025)</w:t>
      </w:r>
      <w:r w:rsidRPr="00B54973">
        <w:t>.</w:t>
      </w:r>
    </w:p>
    <w:p w14:paraId="74D476D6" w14:textId="77777777" w:rsidR="00F22DB5" w:rsidRPr="00B54973" w:rsidRDefault="00F22DB5" w:rsidP="00F22DB5">
      <w:pPr>
        <w:pStyle w:val="bulletitem"/>
      </w:pPr>
      <w:r w:rsidRPr="00B54973">
        <w:t>Interactive Iteration: An iterative “simulate–decide” loop emerges as AI employs adversarial networks and humans select optimal solutions under new constraints.</w:t>
      </w:r>
    </w:p>
    <w:p w14:paraId="15DFD6EC" w14:textId="77777777" w:rsidR="00F22DB5" w:rsidRPr="00B54973" w:rsidRDefault="00F22DB5" w:rsidP="00F22DB5">
      <w:pPr>
        <w:pStyle w:val="bulletitem"/>
      </w:pPr>
      <w:r w:rsidRPr="00B54973">
        <w:t>Validation and Feedback: Real-world experiments trigger parameter fine-tuning through brain–machine interfaces, continuously optimizing both systems.</w:t>
      </w:r>
    </w:p>
    <w:p w14:paraId="59E00739" w14:textId="77777777" w:rsidR="00F22DB5" w:rsidRPr="00B54973" w:rsidRDefault="00F22DB5" w:rsidP="00F22DB5">
      <w:r w:rsidRPr="00B54973">
        <w:t>For instance, in medical diagnostics, physicians and AI collectively refine diagnostic hypotheses and treatment strategies through iterative simulation and outcome feedback, evidencing a shift from a generic tool to an integral component of the overall HAI entity. This dynamic process transcends surface-level alignment, realizing a true neuro-symbolic integrated with cross-domain transferability.</w:t>
      </w:r>
    </w:p>
    <w:p w14:paraId="2EDB9BC3" w14:textId="7C6C67DC" w:rsidR="00F22DB5" w:rsidRPr="00B54973" w:rsidRDefault="00F22DB5" w:rsidP="00B02F3D">
      <w:pPr>
        <w:rPr>
          <w:lang w:eastAsia="zh-CN"/>
        </w:rPr>
      </w:pPr>
      <w:r w:rsidRPr="00B54973">
        <w:t>Humans bring creativity, emotional insight, and complex problem synthesis; AI contributes rapid computation, scalable data processing, and pattern recognition</w:t>
      </w:r>
      <w:r w:rsidRPr="00B54973">
        <w:rPr>
          <w:rFonts w:hint="eastAsia"/>
        </w:rPr>
        <w:t>.</w:t>
      </w:r>
      <w:r w:rsidRPr="00B54973">
        <w:t xml:space="preserve"> Their symbiosis yields mutual interdependence and optimized resource allocation</w:t>
      </w:r>
      <w:r w:rsidR="00A729EB" w:rsidRPr="00B54973">
        <w:t xml:space="preserve"> (cf. </w:t>
      </w:r>
      <w:proofErr w:type="spellStart"/>
      <w:r w:rsidR="00A729EB" w:rsidRPr="00B54973">
        <w:rPr>
          <w:rFonts w:hint="eastAsia"/>
        </w:rPr>
        <w:t>Licklider</w:t>
      </w:r>
      <w:proofErr w:type="spellEnd"/>
      <w:r w:rsidR="00A729EB" w:rsidRPr="00B54973">
        <w:rPr>
          <w:rFonts w:hint="eastAsia"/>
        </w:rPr>
        <w:t>, 1960;</w:t>
      </w:r>
      <w:r w:rsidR="00F754E3" w:rsidRPr="00B54973">
        <w:t xml:space="preserve"> Almeida &amp; Senapati,2024; Zheng et al., 2024</w:t>
      </w:r>
      <w:r w:rsidR="00A729EB" w:rsidRPr="00B54973">
        <w:rPr>
          <w:rFonts w:hint="eastAsia"/>
        </w:rPr>
        <w:t>)</w:t>
      </w:r>
      <w:r w:rsidRPr="00B54973">
        <w:t xml:space="preserve">. </w:t>
      </w:r>
      <w:r w:rsidR="007E0042" w:rsidRPr="00B54973">
        <w:rPr>
          <w:rFonts w:hint="eastAsia"/>
          <w:lang w:eastAsia="zh-CN"/>
        </w:rPr>
        <w:t>Firstly</w:t>
      </w:r>
      <w:r w:rsidR="007E0042" w:rsidRPr="00B54973">
        <w:rPr>
          <w:lang w:eastAsia="zh-CN"/>
        </w:rPr>
        <w:t xml:space="preserve">, </w:t>
      </w:r>
      <w:r w:rsidR="007E0042" w:rsidRPr="00B54973">
        <w:t>this means that humans with junior experience will benefit more from AI than senior (Wang et al., 2024).</w:t>
      </w:r>
      <w:r w:rsidR="007E0042" w:rsidRPr="00B54973">
        <w:rPr>
          <w:rFonts w:hint="eastAsia"/>
          <w:lang w:eastAsia="zh-CN"/>
        </w:rPr>
        <w:t xml:space="preserve"> </w:t>
      </w:r>
      <w:r w:rsidR="00B02F3D" w:rsidRPr="00B54973">
        <w:rPr>
          <w:lang w:eastAsia="zh-CN"/>
        </w:rPr>
        <w:t xml:space="preserve">However, as HAI learns collectively, human expertise is also enhanced, enabling individuals to become experienced enough to trust AI. Secondly, the framework indicates that AI may require guidance during its early stages. For example, </w:t>
      </w:r>
      <w:proofErr w:type="spellStart"/>
      <w:r w:rsidR="00B02F3D" w:rsidRPr="00B54973">
        <w:rPr>
          <w:lang w:eastAsia="zh-CN"/>
        </w:rPr>
        <w:t>Deepseek</w:t>
      </w:r>
      <w:proofErr w:type="spellEnd"/>
      <w:r w:rsidR="00B02F3D" w:rsidRPr="00B54973">
        <w:rPr>
          <w:lang w:eastAsia="zh-CN"/>
        </w:rPr>
        <w:t xml:space="preserve"> </w:t>
      </w:r>
      <w:r w:rsidR="00B02F3D" w:rsidRPr="00B54973">
        <w:rPr>
          <w:rFonts w:hint="eastAsia"/>
          <w:lang w:eastAsia="zh-CN"/>
        </w:rPr>
        <w:t>R</w:t>
      </w:r>
      <w:r w:rsidR="00B02F3D" w:rsidRPr="00B54973">
        <w:rPr>
          <w:lang w:eastAsia="zh-CN"/>
        </w:rPr>
        <w:t>1’s rewards are manually defined (</w:t>
      </w:r>
      <w:r w:rsidR="00B02F3D" w:rsidRPr="00B54973">
        <w:t>Guo et al, 2025)</w:t>
      </w:r>
      <w:r w:rsidR="00B02F3D" w:rsidRPr="00B54973">
        <w:rPr>
          <w:lang w:eastAsia="zh-CN"/>
        </w:rPr>
        <w:t>. As AI continuously learns, it quickly becomes powerful enough to support subsequent human learning. Together, these aspects form a complementary and coevolutionary HAI-IL process.</w:t>
      </w:r>
    </w:p>
    <w:p w14:paraId="041410AB" w14:textId="7B797E20" w:rsidR="005037C9" w:rsidRPr="00B54973" w:rsidRDefault="00AE4462" w:rsidP="00F22DB5">
      <w:pPr>
        <w:pStyle w:val="heading1"/>
        <w:rPr>
          <w:lang w:eastAsia="zh-CN"/>
        </w:rPr>
      </w:pPr>
      <w:r w:rsidRPr="00B54973">
        <w:rPr>
          <w:lang w:eastAsia="zh-CN"/>
        </w:rPr>
        <w:lastRenderedPageBreak/>
        <w:t>Perspective</w:t>
      </w:r>
      <w:r w:rsidR="005037C9" w:rsidRPr="00B54973">
        <w:rPr>
          <w:lang w:eastAsia="zh-CN"/>
        </w:rPr>
        <w:t xml:space="preserve"> </w:t>
      </w:r>
      <w:r w:rsidRPr="00B54973">
        <w:rPr>
          <w:lang w:eastAsia="zh-CN"/>
        </w:rPr>
        <w:t>Measurement</w:t>
      </w:r>
      <w:r w:rsidR="00B070C8" w:rsidRPr="00B54973">
        <w:rPr>
          <w:lang w:eastAsia="zh-CN"/>
        </w:rPr>
        <w:t xml:space="preserve"> </w:t>
      </w:r>
      <w:r w:rsidRPr="00B54973">
        <w:rPr>
          <w:lang w:eastAsia="zh-CN"/>
        </w:rPr>
        <w:t>and Ethic</w:t>
      </w:r>
      <w:r w:rsidR="005037C9" w:rsidRPr="00B54973">
        <w:rPr>
          <w:lang w:eastAsia="zh-CN"/>
        </w:rPr>
        <w:t xml:space="preserve"> </w:t>
      </w:r>
      <w:r w:rsidR="005037C9" w:rsidRPr="00B54973">
        <w:rPr>
          <w:rFonts w:hint="eastAsia"/>
          <w:lang w:eastAsia="zh-CN"/>
        </w:rPr>
        <w:t>framework</w:t>
      </w:r>
    </w:p>
    <w:p w14:paraId="232BD6EB" w14:textId="392D1608" w:rsidR="005037C9" w:rsidRPr="00B54973" w:rsidRDefault="00B070C8" w:rsidP="00B070C8">
      <w:pPr>
        <w:pStyle w:val="heading2"/>
        <w:spacing w:before="0"/>
      </w:pPr>
      <w:r w:rsidRPr="00B54973">
        <w:t xml:space="preserve">Measurement </w:t>
      </w:r>
      <w:r w:rsidRPr="00B54973">
        <w:rPr>
          <w:rFonts w:hint="eastAsia"/>
          <w:lang w:eastAsia="zh-CN"/>
        </w:rPr>
        <w:t>S</w:t>
      </w:r>
      <w:r w:rsidRPr="00B54973">
        <w:rPr>
          <w:rFonts w:hint="eastAsia"/>
        </w:rPr>
        <w:t>uggestion</w:t>
      </w:r>
    </w:p>
    <w:p w14:paraId="744C4B36" w14:textId="2AA74B0F" w:rsidR="00AE4462" w:rsidRPr="00B54973" w:rsidRDefault="00AE4462" w:rsidP="00AE4462">
      <w:pPr>
        <w:pStyle w:val="3"/>
        <w:spacing w:before="0"/>
      </w:pPr>
      <w:r w:rsidRPr="00B54973">
        <w:rPr>
          <w:rStyle w:val="heading3"/>
        </w:rPr>
        <w:t>Internal Perspective Measurement</w:t>
      </w:r>
      <w:r w:rsidRPr="00B54973">
        <w:t xml:space="preserve"> </w:t>
      </w:r>
    </w:p>
    <w:p w14:paraId="2DEE4ECE" w14:textId="6835E3F0" w:rsidR="00AE4462" w:rsidRPr="00B54973" w:rsidRDefault="00AE4462" w:rsidP="00AE4462">
      <w:pPr>
        <w:ind w:firstLine="0"/>
      </w:pPr>
      <w:r w:rsidRPr="00234EC0">
        <w:t>From an internal standpoint, human–AI integration forms an intimate, symbiotic learning relationship. Here, AI becomes part of the self</w:t>
      </w:r>
      <w:r w:rsidR="00234EC0" w:rsidRPr="00234EC0">
        <w:rPr>
          <w:rFonts w:eastAsia="宋体"/>
        </w:rPr>
        <w:t xml:space="preserve">, </w:t>
      </w:r>
      <w:r w:rsidRPr="00234EC0">
        <w:t xml:space="preserve">extending creative capacities (e.g. Zheng et al., 2024) and enhancing personalized language learning </w:t>
      </w:r>
      <w:r w:rsidRPr="00234EC0">
        <w:rPr>
          <w:rFonts w:hint="eastAsia"/>
        </w:rPr>
        <w:t>through real‐time adjustments. Self-regulatory c</w:t>
      </w:r>
      <w:r w:rsidRPr="00B54973">
        <w:rPr>
          <w:rFonts w:hint="eastAsia"/>
        </w:rPr>
        <w:t>apacity is critical to optimally harness these extended abilities. Grounded in symbiosis theory, humans and AI function as differentiated entities that exchange matter, energy, and information. Advances in co</w:t>
      </w:r>
      <w:r w:rsidRPr="00B54973">
        <w:t>upling technologies (e.g., brain–machine interfaces, exoskeletons) are essential for sustaining robust internal communication.</w:t>
      </w:r>
    </w:p>
    <w:p w14:paraId="2A51F5CD" w14:textId="380A8ECC" w:rsidR="00AE4462" w:rsidRPr="00B54973" w:rsidRDefault="00AE4462" w:rsidP="00AE4462">
      <w:r w:rsidRPr="00B54973">
        <w:t>Internal measurement assesses humans and AI both separately and in tandem. AI is evaluated using supervised tests, explainable techniques, or external knowledge graphs. Human factors are measured through triangulated methods</w:t>
      </w:r>
      <w:r w:rsidR="00234EC0">
        <w:t xml:space="preserve">: </w:t>
      </w:r>
      <w:r w:rsidRPr="00B54973">
        <w:t>self-reports (e.g., questionnaire), behavioral indices (e.g. tracing data), or neuroscientific tools (e.g. eye-tracking). Overall integration is gauged by comparing the consistency and complementarity of these measures to inform AI tool design, human literacy training, and cognitive–interactional modulation.</w:t>
      </w:r>
      <w:r w:rsidR="00B070C8" w:rsidRPr="00B54973">
        <w:t xml:space="preserve"> Therefore, there is an urgent need to develop human-computer interaction technology to improve the speed of information exchange between HAI.</w:t>
      </w:r>
    </w:p>
    <w:p w14:paraId="254F7F75" w14:textId="61A5A491" w:rsidR="00AE4462" w:rsidRPr="00B54973" w:rsidRDefault="00AE4462" w:rsidP="00AE4462">
      <w:pPr>
        <w:pStyle w:val="3"/>
        <w:rPr>
          <w:rStyle w:val="heading3"/>
        </w:rPr>
      </w:pPr>
      <w:r w:rsidRPr="00B54973">
        <w:rPr>
          <w:rStyle w:val="heading3"/>
        </w:rPr>
        <w:t xml:space="preserve">External </w:t>
      </w:r>
      <w:r w:rsidR="00313E58" w:rsidRPr="00B54973">
        <w:rPr>
          <w:rStyle w:val="heading3"/>
        </w:rPr>
        <w:t>Perspective Measurement</w:t>
      </w:r>
    </w:p>
    <w:p w14:paraId="75D97801" w14:textId="77777777" w:rsidR="00AE4462" w:rsidRPr="00B54973" w:rsidRDefault="00AE4462" w:rsidP="00AE4462">
      <w:pPr>
        <w:ind w:firstLine="0"/>
      </w:pPr>
      <w:r w:rsidRPr="00B54973">
        <w:t>Externally, HAI manifests as an indivisible whole that interacts seamlessly with the world, similarly with Hybrid Intelligence (</w:t>
      </w:r>
      <w:proofErr w:type="spellStart"/>
      <w:r w:rsidRPr="00B54973">
        <w:t>Dellermann</w:t>
      </w:r>
      <w:proofErr w:type="spellEnd"/>
      <w:r w:rsidRPr="00B54973">
        <w:t xml:space="preserve"> et al., 2019). In intelligent customer service, for example, clients experience a unified, efficient system regardless of whether responses originate from human or AI. In autonomous driving, human drivers and AI-assisted systems form a cohesive unit that ensures safe navigation.</w:t>
      </w:r>
    </w:p>
    <w:p w14:paraId="32DDA9A9" w14:textId="0E4CE2A4" w:rsidR="00AE4462" w:rsidRPr="00B54973" w:rsidRDefault="00AE4462" w:rsidP="00AE4462">
      <w:pPr>
        <w:rPr>
          <w:lang w:eastAsia="zh-CN"/>
        </w:rPr>
      </w:pPr>
      <w:r w:rsidRPr="00B54973">
        <w:rPr>
          <w:lang w:eastAsia="zh-CN"/>
        </w:rPr>
        <w:t>Measurement from this perspective relies on task performance evaluations</w:t>
      </w:r>
      <w:r w:rsidR="00234EC0">
        <w:rPr>
          <w:lang w:eastAsia="zh-CN"/>
        </w:rPr>
        <w:t xml:space="preserve">, </w:t>
      </w:r>
      <w:r w:rsidR="00111703">
        <w:rPr>
          <w:lang w:eastAsia="zh-CN"/>
        </w:rPr>
        <w:t xml:space="preserve">including </w:t>
      </w:r>
      <w:r w:rsidRPr="00B54973">
        <w:rPr>
          <w:lang w:eastAsia="zh-CN"/>
        </w:rPr>
        <w:t>designing tasks that expose HAI performance variations to delineate capability boundaries, guide system developments, and highlight areas needing improvement.</w:t>
      </w:r>
    </w:p>
    <w:p w14:paraId="5FBB7071" w14:textId="77777777" w:rsidR="00AE4462" w:rsidRPr="00B54973" w:rsidRDefault="00AE4462" w:rsidP="00AE4462">
      <w:pPr>
        <w:pStyle w:val="heading2"/>
      </w:pPr>
      <w:r w:rsidRPr="00B54973">
        <w:t>The Central Role of Self-Regulation and the Dual-Spiral Ethical Governance Mechanism in HAI</w:t>
      </w:r>
    </w:p>
    <w:p w14:paraId="34D57D63" w14:textId="2D2328E2" w:rsidR="00AE4462" w:rsidRPr="00B54973" w:rsidRDefault="003C7A61" w:rsidP="00AE4462">
      <w:pPr>
        <w:pStyle w:val="p1a"/>
        <w:rPr>
          <w:lang w:eastAsia="zh-CN"/>
        </w:rPr>
      </w:pPr>
      <w:r w:rsidRPr="00B54973">
        <w:rPr>
          <w:lang w:eastAsia="zh-CN"/>
        </w:rPr>
        <w:t>Self-regulation refers to an individual’s capacity to monitor, control, and adjust their thoughts, emotions, and behaviors to achieve long-term goals (cf. Zimmerman, 2000). It</w:t>
      </w:r>
      <w:r w:rsidR="00AE4462" w:rsidRPr="00B54973">
        <w:rPr>
          <w:lang w:eastAsia="zh-CN"/>
        </w:rPr>
        <w:t xml:space="preserve"> is</w:t>
      </w:r>
      <w:r w:rsidRPr="00B54973">
        <w:rPr>
          <w:lang w:eastAsia="zh-CN"/>
        </w:rPr>
        <w:t xml:space="preserve"> </w:t>
      </w:r>
      <w:r w:rsidRPr="00B54973">
        <w:rPr>
          <w:rFonts w:hint="eastAsia"/>
          <w:lang w:eastAsia="zh-CN"/>
        </w:rPr>
        <w:t>crucial</w:t>
      </w:r>
      <w:r w:rsidRPr="00B54973">
        <w:rPr>
          <w:lang w:eastAsia="zh-CN"/>
        </w:rPr>
        <w:t xml:space="preserve"> mechanism</w:t>
      </w:r>
      <w:r w:rsidR="00AE4462" w:rsidRPr="00B54973">
        <w:rPr>
          <w:lang w:eastAsia="zh-CN"/>
        </w:rPr>
        <w:t xml:space="preserve"> of HAI</w:t>
      </w:r>
      <w:r w:rsidRPr="00B54973">
        <w:rPr>
          <w:lang w:eastAsia="zh-CN"/>
        </w:rPr>
        <w:t>-IL</w:t>
      </w:r>
      <w:r w:rsidR="00AE4462" w:rsidRPr="00B54973">
        <w:rPr>
          <w:lang w:eastAsia="zh-CN"/>
        </w:rPr>
        <w:t>, simultaneously fueling evolutionary progress and ensuring human-centered oversight</w:t>
      </w:r>
      <w:r w:rsidRPr="00B54973">
        <w:rPr>
          <w:lang w:eastAsia="zh-CN"/>
        </w:rPr>
        <w:t>, keeping powerful driven to co-evolution</w:t>
      </w:r>
      <w:r w:rsidR="00AE4462" w:rsidRPr="00B54973">
        <w:rPr>
          <w:lang w:eastAsia="zh-CN"/>
        </w:rPr>
        <w:t>.</w:t>
      </w:r>
      <w:r w:rsidR="00AE4462" w:rsidRPr="00B54973">
        <w:t xml:space="preserve"> </w:t>
      </w:r>
      <w:r w:rsidR="00AE4462" w:rsidRPr="00B54973">
        <w:rPr>
          <w:lang w:eastAsia="zh-CN"/>
        </w:rPr>
        <w:t xml:space="preserve">It enables humans to guide AI development by grounding decisions in fundamental values while safeguarding against cognitive biases (Glickman &amp; </w:t>
      </w:r>
      <w:proofErr w:type="spellStart"/>
      <w:r w:rsidR="00AE4462" w:rsidRPr="00B54973">
        <w:rPr>
          <w:lang w:eastAsia="zh-CN"/>
        </w:rPr>
        <w:t>Sharot</w:t>
      </w:r>
      <w:proofErr w:type="spellEnd"/>
      <w:r w:rsidR="00AE4462" w:rsidRPr="00B54973">
        <w:rPr>
          <w:lang w:eastAsia="zh-CN"/>
        </w:rPr>
        <w:t xml:space="preserve"> 2024) and unchecked technological control. As the command center of HAI, self-regulation optimizes knowledge interactions, adjusts perception and information collection, and guarantees the precision of both learning and applied processes. In practice, self-regulation underpins collaborative tasks</w:t>
      </w:r>
      <w:r w:rsidRPr="00B54973">
        <w:rPr>
          <w:lang w:eastAsia="zh-CN"/>
        </w:rPr>
        <w:t xml:space="preserve">, </w:t>
      </w:r>
      <w:r w:rsidR="00AE4462" w:rsidRPr="00B54973">
        <w:rPr>
          <w:lang w:eastAsia="zh-CN"/>
        </w:rPr>
        <w:t>where humans guide and iteratively refine AI outputs.</w:t>
      </w:r>
    </w:p>
    <w:p w14:paraId="7D380CBD" w14:textId="77777777" w:rsidR="00AE4462" w:rsidRPr="00B54973" w:rsidRDefault="00AE4462" w:rsidP="00AE4462">
      <w:pPr>
        <w:rPr>
          <w:lang w:eastAsia="zh-CN"/>
        </w:rPr>
      </w:pPr>
      <w:r w:rsidRPr="00B54973">
        <w:rPr>
          <w:lang w:eastAsia="zh-CN"/>
        </w:rPr>
        <w:lastRenderedPageBreak/>
        <w:t xml:space="preserve">Moreover, self-regulation dynamically balances emotional dimensions (Westphal &amp; </w:t>
      </w:r>
      <w:proofErr w:type="spellStart"/>
      <w:r w:rsidRPr="00B54973">
        <w:rPr>
          <w:lang w:eastAsia="zh-CN"/>
        </w:rPr>
        <w:t>Bonanno</w:t>
      </w:r>
      <w:proofErr w:type="spellEnd"/>
      <w:r w:rsidRPr="00B54973">
        <w:rPr>
          <w:lang w:eastAsia="zh-CN"/>
        </w:rPr>
        <w:t xml:space="preserve"> 2006), averting extremes such as technological worship or anxiety. This balance is crucial for preserving human primacy and reinforces a dual-helix ethical oversight architecture. The architecture operates on two intertwined spirals: one driving technological advancement and the other steering ethical maturation.</w:t>
      </w:r>
    </w:p>
    <w:p w14:paraId="6A4D9D54" w14:textId="77777777" w:rsidR="00AE4462" w:rsidRPr="00B54973" w:rsidRDefault="00AE4462" w:rsidP="00AE4462">
      <w:pPr>
        <w:pStyle w:val="image"/>
        <w:rPr>
          <w:lang w:eastAsia="zh-CN"/>
        </w:rPr>
      </w:pPr>
      <w:r w:rsidRPr="00B54973">
        <w:rPr>
          <w:noProof/>
          <w:lang w:eastAsia="zh-CN"/>
        </w:rPr>
        <w:drawing>
          <wp:inline distT="0" distB="0" distL="0" distR="0" wp14:anchorId="7B224945" wp14:editId="28A2DBA9">
            <wp:extent cx="4392930" cy="3330000"/>
            <wp:effectExtent l="0" t="0" r="0" b="0"/>
            <wp:docPr id="564203420" name="图片 12" descr="文本&#10;&#10;描述已自动生成"/>
            <wp:cNvGraphicFramePr/>
            <a:graphic xmlns:a="http://schemas.openxmlformats.org/drawingml/2006/main">
              <a:graphicData uri="http://schemas.openxmlformats.org/drawingml/2006/picture">
                <pic:pic xmlns:pic="http://schemas.openxmlformats.org/drawingml/2006/picture">
                  <pic:nvPicPr>
                    <pic:cNvPr id="564203420" name="图片 12" descr="文本&#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92930" cy="3330000"/>
                    </a:xfrm>
                    <a:prstGeom prst="rect">
                      <a:avLst/>
                    </a:prstGeom>
                  </pic:spPr>
                </pic:pic>
              </a:graphicData>
            </a:graphic>
          </wp:inline>
        </w:drawing>
      </w:r>
    </w:p>
    <w:p w14:paraId="3E99844B" w14:textId="341D97A9" w:rsidR="00AE4462" w:rsidRPr="00B54973" w:rsidRDefault="00AE4462" w:rsidP="00AE4462">
      <w:pPr>
        <w:pStyle w:val="figurecaption"/>
      </w:pPr>
      <w:r w:rsidRPr="00B54973">
        <w:rPr>
          <w:b/>
        </w:rPr>
        <w:t xml:space="preserve">Fig. </w:t>
      </w:r>
      <w:r w:rsidRPr="00B54973">
        <w:rPr>
          <w:b/>
        </w:rPr>
        <w:fldChar w:fldCharType="begin"/>
      </w:r>
      <w:r w:rsidRPr="00B54973">
        <w:rPr>
          <w:b/>
        </w:rPr>
        <w:instrText xml:space="preserve"> SEQ "Figure" \* MERGEFORMAT </w:instrText>
      </w:r>
      <w:r w:rsidRPr="00B54973">
        <w:rPr>
          <w:b/>
        </w:rPr>
        <w:fldChar w:fldCharType="separate"/>
      </w:r>
      <w:r w:rsidR="006E4077">
        <w:rPr>
          <w:b/>
          <w:noProof/>
        </w:rPr>
        <w:t>6</w:t>
      </w:r>
      <w:r w:rsidRPr="00B54973">
        <w:rPr>
          <w:b/>
        </w:rPr>
        <w:fldChar w:fldCharType="end"/>
      </w:r>
      <w:r w:rsidRPr="00B54973">
        <w:rPr>
          <w:b/>
        </w:rPr>
        <w:t>.</w:t>
      </w:r>
      <w:r w:rsidRPr="00B54973">
        <w:t xml:space="preserve"> HAI</w:t>
      </w:r>
      <w:r w:rsidRPr="00B54973">
        <w:rPr>
          <w:shd w:val="clear" w:color="auto" w:fill="FFFFFF"/>
          <w:lang w:eastAsia="zh-CN"/>
        </w:rPr>
        <w:t xml:space="preserve"> Ethical Dual-Spiral Regulation Model</w:t>
      </w:r>
    </w:p>
    <w:p w14:paraId="1D66DF70" w14:textId="75F0FA63" w:rsidR="00111703" w:rsidRPr="00111703" w:rsidRDefault="00AE4462" w:rsidP="00111703">
      <w:pPr>
        <w:pStyle w:val="p1a"/>
        <w:rPr>
          <w:lang w:eastAsia="zh-CN"/>
        </w:rPr>
      </w:pPr>
      <w:r w:rsidRPr="00B54973">
        <w:rPr>
          <w:lang w:eastAsia="zh-CN"/>
        </w:rPr>
        <w:t>The Ethical Governance Mechanism of HAI-IL is built on this human-centered, dual-spiral regulation model. It embeds ethical constraints into the AI lifecycle from the start</w:t>
      </w:r>
      <w:r w:rsidR="00111703">
        <w:rPr>
          <w:lang w:eastAsia="zh-CN"/>
        </w:rPr>
        <w:t xml:space="preserve">, such as </w:t>
      </w:r>
      <w:r w:rsidRPr="00B54973">
        <w:rPr>
          <w:lang w:eastAsia="zh-CN"/>
        </w:rPr>
        <w:t>during design, development, and real-time operation to post-deployment review</w:t>
      </w:r>
      <w:r w:rsidR="00111703">
        <w:rPr>
          <w:lang w:eastAsia="zh-CN"/>
        </w:rPr>
        <w:t xml:space="preserve">, </w:t>
      </w:r>
      <w:r w:rsidRPr="00B54973">
        <w:rPr>
          <w:lang w:eastAsia="zh-CN"/>
        </w:rPr>
        <w:t>ensuring that core moral principles guide system behavior. These constraints evolve in tandem with technological capabilities, enabling continuous ethical monitoring via real-time assessments (such as an Ethical Confidence Score system). When ethical standards slip below thresholds, automated corrective algorithms are activated, with human experts ready to intervene in complex scenarios.</w:t>
      </w:r>
    </w:p>
    <w:p w14:paraId="00FA685D" w14:textId="77777777" w:rsidR="00AE4462" w:rsidRPr="00B54973" w:rsidRDefault="00AE4462" w:rsidP="00AE4462">
      <w:pPr>
        <w:rPr>
          <w:lang w:eastAsia="zh-CN"/>
        </w:rPr>
      </w:pPr>
      <w:r w:rsidRPr="00B54973">
        <w:rPr>
          <w:lang w:eastAsia="zh-CN"/>
        </w:rPr>
        <w:t>This dual-spiral framework not only mitigates immediate operational risks but also anticipates long-term challenges. For instance, in news recommendation systems, it curbs misinformation by diminishing unethical content, with human evaluators providing oversight when necessary. Ultimately, the self-regulation mechanism coupled with robust ethical governance ensures that HAI remains adaptable, responsible, and inherently human-centered through a dynamic, evolving partnership.</w:t>
      </w:r>
    </w:p>
    <w:p w14:paraId="21826FFC" w14:textId="77777777" w:rsidR="00AE4462" w:rsidRPr="00B54973" w:rsidRDefault="00AE4462" w:rsidP="00AE4462">
      <w:pPr>
        <w:pStyle w:val="heading1"/>
      </w:pPr>
      <w:r w:rsidRPr="00B54973">
        <w:lastRenderedPageBreak/>
        <w:t>Conclusion</w:t>
      </w:r>
    </w:p>
    <w:p w14:paraId="72E199CC" w14:textId="53D3CE3A" w:rsidR="00D338B7" w:rsidRPr="00D338B7" w:rsidRDefault="00D338B7" w:rsidP="00D338B7">
      <w:pPr>
        <w:pStyle w:val="p1a"/>
        <w:rPr>
          <w:lang w:eastAsia="zh-CN"/>
        </w:rPr>
      </w:pPr>
      <w:r w:rsidRPr="00D338B7">
        <w:rPr>
          <w:lang w:eastAsia="zh-CN"/>
        </w:rPr>
        <w:t>This study found that current human-A</w:t>
      </w:r>
      <w:r w:rsidRPr="00D338B7">
        <w:t>I symbiosis faces resistance. This is because HAI is not treated as an inseparable whole</w:t>
      </w:r>
      <w:r w:rsidRPr="00D338B7">
        <w:rPr>
          <w:rFonts w:eastAsia="宋体"/>
        </w:rPr>
        <w:t xml:space="preserve">, which need </w:t>
      </w:r>
      <w:r w:rsidRPr="00D338B7">
        <w:t>co-evoluti</w:t>
      </w:r>
      <w:r w:rsidRPr="00D338B7">
        <w:rPr>
          <w:lang w:eastAsia="zh-CN"/>
        </w:rPr>
        <w:t xml:space="preserve">on of humans and AI through </w:t>
      </w:r>
      <w:r>
        <w:rPr>
          <w:lang w:eastAsia="zh-CN"/>
        </w:rPr>
        <w:t>HAI-IL</w:t>
      </w:r>
      <w:r w:rsidRPr="00D338B7">
        <w:rPr>
          <w:lang w:eastAsia="zh-CN"/>
        </w:rPr>
        <w:t xml:space="preserve">. Based on an analysis of human learning, machine learning, and </w:t>
      </w:r>
      <w:r>
        <w:rPr>
          <w:lang w:eastAsia="zh-CN"/>
        </w:rPr>
        <w:t xml:space="preserve">HAI </w:t>
      </w:r>
      <w:r w:rsidRPr="00D338B7">
        <w:rPr>
          <w:lang w:eastAsia="zh-CN"/>
        </w:rPr>
        <w:t xml:space="preserve">symbiosis, we introduce a four-layer framework for </w:t>
      </w:r>
      <w:r>
        <w:rPr>
          <w:lang w:eastAsia="zh-CN"/>
        </w:rPr>
        <w:t>HAI-IL</w:t>
      </w:r>
      <w:r w:rsidRPr="00D338B7">
        <w:rPr>
          <w:lang w:eastAsia="zh-CN"/>
        </w:rPr>
        <w:t>, revealing a new form of learning. We stress that HAI-IL should distinguish between internal perspectives—comparable to human organs—and an external perspective, which represents the complete whole. Self-regulation is identified as the core mechanism of HAI-IL, as it provides both momentum and ethical oversight. Furthermore, we propose a dual-spiral regulation mechanism centered on self-regulation for ethical governance.</w:t>
      </w:r>
    </w:p>
    <w:p w14:paraId="4544BF26" w14:textId="53D60B70" w:rsidR="00CA0CB0" w:rsidRPr="00D338B7" w:rsidRDefault="00111703" w:rsidP="00D338B7">
      <w:pPr>
        <w:rPr>
          <w:rFonts w:ascii="宋体" w:eastAsia="宋体" w:hAnsi="宋体" w:cs="宋体"/>
          <w:lang w:eastAsia="zh-CN"/>
        </w:rPr>
      </w:pPr>
      <w:r w:rsidRPr="00452488">
        <w:rPr>
          <w:lang w:eastAsia="zh-CN"/>
        </w:rPr>
        <w:t xml:space="preserve">The research </w:t>
      </w:r>
      <w:r w:rsidRPr="00452488">
        <w:rPr>
          <w:rFonts w:hint="eastAsia"/>
          <w:lang w:eastAsia="zh-CN"/>
        </w:rPr>
        <w:t>i</w:t>
      </w:r>
      <w:r w:rsidRPr="00452488">
        <w:rPr>
          <w:lang w:eastAsia="zh-CN"/>
        </w:rPr>
        <w:t xml:space="preserve">s instructive and </w:t>
      </w:r>
      <w:r>
        <w:rPr>
          <w:lang w:eastAsia="zh-CN"/>
        </w:rPr>
        <w:t>innovati</w:t>
      </w:r>
      <w:r w:rsidRPr="00452488">
        <w:rPr>
          <w:lang w:eastAsia="zh-CN"/>
        </w:rPr>
        <w:t>ve.</w:t>
      </w:r>
      <w:r>
        <w:rPr>
          <w:lang w:eastAsia="zh-CN"/>
        </w:rPr>
        <w:t xml:space="preserve"> </w:t>
      </w:r>
      <w:r w:rsidRPr="00B54973">
        <w:rPr>
          <w:lang w:eastAsia="zh-CN"/>
        </w:rPr>
        <w:t xml:space="preserve">However, </w:t>
      </w:r>
      <w:r>
        <w:rPr>
          <w:rFonts w:hint="eastAsia"/>
          <w:lang w:eastAsia="zh-CN"/>
        </w:rPr>
        <w:t>it</w:t>
      </w:r>
      <w:r w:rsidRPr="00B54973">
        <w:rPr>
          <w:lang w:eastAsia="zh-CN"/>
        </w:rPr>
        <w:t xml:space="preserve"> remains </w:t>
      </w:r>
      <w:r>
        <w:rPr>
          <w:lang w:eastAsia="zh-CN"/>
        </w:rPr>
        <w:t xml:space="preserve">to focus on </w:t>
      </w:r>
      <w:r w:rsidRPr="00B54973">
        <w:rPr>
          <w:lang w:eastAsia="zh-CN"/>
        </w:rPr>
        <w:t>conceptual</w:t>
      </w:r>
      <w:r>
        <w:rPr>
          <w:lang w:eastAsia="zh-CN"/>
        </w:rPr>
        <w:t xml:space="preserve"> framework. I</w:t>
      </w:r>
      <w:r w:rsidRPr="00B54973">
        <w:rPr>
          <w:lang w:eastAsia="zh-CN"/>
        </w:rPr>
        <w:t>t does not yet operationalize the scale</w:t>
      </w:r>
      <w:r>
        <w:rPr>
          <w:lang w:eastAsia="zh-CN"/>
        </w:rPr>
        <w:t>s</w:t>
      </w:r>
      <w:r w:rsidRPr="00B54973">
        <w:rPr>
          <w:lang w:eastAsia="zh-CN"/>
        </w:rPr>
        <w:t xml:space="preserve"> of the proposed four-layer model or provide empirical substantiation.</w:t>
      </w:r>
    </w:p>
    <w:p w14:paraId="73E78624" w14:textId="11BD72BD" w:rsidR="00111703" w:rsidRDefault="00111703" w:rsidP="00111703">
      <w:pPr>
        <w:rPr>
          <w:lang w:eastAsia="zh-CN"/>
        </w:rPr>
      </w:pPr>
      <w:r>
        <w:rPr>
          <w:lang w:eastAsia="zh-CN"/>
        </w:rPr>
        <w:t>O</w:t>
      </w:r>
      <w:r w:rsidR="00AE4462" w:rsidRPr="00B54973">
        <w:rPr>
          <w:lang w:eastAsia="zh-CN"/>
        </w:rPr>
        <w:t xml:space="preserve">n the </w:t>
      </w:r>
      <w:r>
        <w:rPr>
          <w:lang w:eastAsia="zh-CN"/>
        </w:rPr>
        <w:t>C</w:t>
      </w:r>
      <w:r w:rsidR="00AE4462" w:rsidRPr="00B54973">
        <w:rPr>
          <w:lang w:eastAsia="zh-CN"/>
        </w:rPr>
        <w:t xml:space="preserve">ognitive </w:t>
      </w:r>
      <w:r>
        <w:rPr>
          <w:lang w:eastAsia="zh-CN"/>
        </w:rPr>
        <w:t>Layer</w:t>
      </w:r>
      <w:r w:rsidR="00AE4462" w:rsidRPr="00B54973">
        <w:rPr>
          <w:lang w:eastAsia="zh-CN"/>
        </w:rPr>
        <w:t xml:space="preserve">, promising technological trajectories include the development of brain–machine interfaces </w:t>
      </w:r>
      <w:r w:rsidR="00CA0CB0">
        <w:rPr>
          <w:lang w:eastAsia="zh-CN"/>
        </w:rPr>
        <w:t>and personalized AI</w:t>
      </w:r>
      <w:r w:rsidR="00CA0CB0">
        <w:rPr>
          <w:rFonts w:hint="eastAsia"/>
          <w:lang w:eastAsia="zh-CN"/>
        </w:rPr>
        <w:t xml:space="preserve"> to</w:t>
      </w:r>
      <w:r w:rsidR="00CA0CB0">
        <w:rPr>
          <w:lang w:eastAsia="zh-CN"/>
        </w:rPr>
        <w:t xml:space="preserve"> </w:t>
      </w:r>
      <w:r w:rsidR="00CA0CB0" w:rsidRPr="00CA0CB0">
        <w:rPr>
          <w:lang w:eastAsia="zh-CN"/>
        </w:rPr>
        <w:t>speed up the exchange of information between HAIs</w:t>
      </w:r>
      <w:r w:rsidR="00AE4462" w:rsidRPr="00B54973">
        <w:rPr>
          <w:lang w:eastAsia="zh-CN"/>
        </w:rPr>
        <w:t xml:space="preserve">. On the </w:t>
      </w:r>
      <w:r>
        <w:rPr>
          <w:lang w:eastAsia="zh-CN"/>
        </w:rPr>
        <w:t>I</w:t>
      </w:r>
      <w:r w:rsidR="00AE4462" w:rsidRPr="00B54973">
        <w:rPr>
          <w:lang w:eastAsia="zh-CN"/>
        </w:rPr>
        <w:t>nteracti</w:t>
      </w:r>
      <w:r>
        <w:rPr>
          <w:lang w:eastAsia="zh-CN"/>
        </w:rPr>
        <w:t>ve Layer</w:t>
      </w:r>
      <w:r w:rsidR="00AE4462" w:rsidRPr="00B54973">
        <w:rPr>
          <w:lang w:eastAsia="zh-CN"/>
        </w:rPr>
        <w:t>, potential advancements may mirror functionalities akin to integrated conversational agents, while externally oriented strategies may involve the deployment of wearable smart devices</w:t>
      </w:r>
      <w:r>
        <w:rPr>
          <w:lang w:eastAsia="zh-CN"/>
        </w:rPr>
        <w:t xml:space="preserve">, </w:t>
      </w:r>
      <w:r w:rsidR="00AE4462" w:rsidRPr="00B54973">
        <w:rPr>
          <w:lang w:eastAsia="zh-CN"/>
        </w:rPr>
        <w:t>such as intelligent exoskeletons and augmented reality glasses</w:t>
      </w:r>
      <w:r>
        <w:rPr>
          <w:lang w:eastAsia="zh-CN"/>
        </w:rPr>
        <w:t xml:space="preserve">, </w:t>
      </w:r>
      <w:r w:rsidR="00AE4462" w:rsidRPr="00B54973">
        <w:rPr>
          <w:lang w:eastAsia="zh-CN"/>
        </w:rPr>
        <w:t>that enable seamless human–AI interaction with the environment</w:t>
      </w:r>
      <w:r w:rsidRPr="00B54973">
        <w:rPr>
          <w:lang w:eastAsia="zh-CN"/>
        </w:rPr>
        <w:t>.</w:t>
      </w:r>
    </w:p>
    <w:p w14:paraId="45CC2F7E" w14:textId="7B969124" w:rsidR="00CA0CB0" w:rsidRDefault="00CA0CB0" w:rsidP="00CA0CB0">
      <w:pPr>
        <w:rPr>
          <w:lang w:eastAsia="zh-CN"/>
        </w:rPr>
      </w:pPr>
      <w:r w:rsidRPr="00CA0CB0">
        <w:rPr>
          <w:lang w:eastAsia="zh-CN"/>
        </w:rPr>
        <w:t xml:space="preserve">In addition, future research should expand self-regulation theory to encompass the entire HAI learning process. This extension would benefit the strengthening of the Self Layer by enhancing the management and regulation of self-related cognitive and metacognitive processes as well as behavior. </w:t>
      </w:r>
      <w:r>
        <w:rPr>
          <w:lang w:eastAsia="zh-CN"/>
        </w:rPr>
        <w:t>A</w:t>
      </w:r>
      <w:r w:rsidRPr="00CA0CB0">
        <w:rPr>
          <w:lang w:eastAsia="zh-CN"/>
        </w:rPr>
        <w:t>t the External Layer, we advocate for the implementation of the proposed ethical governance framework while also exploring issues related to the comprehensive communication and evolution of HAI.</w:t>
      </w:r>
      <w:r w:rsidRPr="00CA0CB0">
        <w:t xml:space="preserve"> </w:t>
      </w:r>
      <w:r w:rsidRPr="00CA0CB0">
        <w:rPr>
          <w:lang w:eastAsia="zh-CN"/>
        </w:rPr>
        <w:t>For example, building a holistic approach to HAI</w:t>
      </w:r>
      <w:r>
        <w:rPr>
          <w:lang w:eastAsia="zh-CN"/>
        </w:rPr>
        <w:t xml:space="preserve"> </w:t>
      </w:r>
      <w:r>
        <w:rPr>
          <w:rFonts w:hint="eastAsia"/>
          <w:lang w:eastAsia="zh-CN"/>
        </w:rPr>
        <w:t>integration</w:t>
      </w:r>
      <w:r w:rsidRPr="00CA0CB0">
        <w:rPr>
          <w:lang w:eastAsia="zh-CN"/>
        </w:rPr>
        <w:t xml:space="preserve"> teaching and </w:t>
      </w:r>
      <w:r>
        <w:rPr>
          <w:rFonts w:hint="eastAsia"/>
          <w:lang w:eastAsia="zh-CN"/>
        </w:rPr>
        <w:t>measurement</w:t>
      </w:r>
      <w:r>
        <w:rPr>
          <w:lang w:eastAsia="zh-CN"/>
        </w:rPr>
        <w:t xml:space="preserve"> </w:t>
      </w:r>
      <w:r w:rsidRPr="00CA0CB0">
        <w:rPr>
          <w:lang w:eastAsia="zh-CN"/>
        </w:rPr>
        <w:t>criterion</w:t>
      </w:r>
      <w:r>
        <w:rPr>
          <w:rFonts w:hint="eastAsia"/>
          <w:lang w:eastAsia="zh-CN"/>
        </w:rPr>
        <w:t>s</w:t>
      </w:r>
      <w:r w:rsidRPr="00CA0CB0">
        <w:rPr>
          <w:lang w:eastAsia="zh-CN"/>
        </w:rPr>
        <w:t>.</w:t>
      </w:r>
    </w:p>
    <w:p w14:paraId="40087310" w14:textId="495B1B52" w:rsidR="001433CE" w:rsidRPr="001433CE" w:rsidRDefault="001433CE" w:rsidP="001433CE">
      <w:pPr>
        <w:rPr>
          <w:lang w:eastAsia="zh-CN"/>
        </w:rPr>
      </w:pPr>
      <w:r w:rsidRPr="001433CE">
        <w:rPr>
          <w:lang w:eastAsia="zh-CN"/>
        </w:rPr>
        <w:t>Finally</w:t>
      </w:r>
      <w:r>
        <w:rPr>
          <w:lang w:eastAsia="zh-CN"/>
        </w:rPr>
        <w:t>,</w:t>
      </w:r>
      <w:r w:rsidRPr="001433CE">
        <w:rPr>
          <w:lang w:eastAsia="zh-CN"/>
        </w:rPr>
        <w:t xml:space="preserve"> we propose that future AI research consider our framework. The framework uses a human-centered drive and continuous innovation to improve AI. This approach goes beyond personalized AI. It establishes a new paradigm for AI training. The paradigm integrates human and machine learning to experience tasks together. This is different from merely defining tasks, such as setting rewards in reinforcement learning. Traditional task definitions are often one-sided and challenging. We therefore advocate for further investigation of the HAI-IL learning framework.</w:t>
      </w:r>
    </w:p>
    <w:p w14:paraId="2322D0D4" w14:textId="10192147" w:rsidR="0099582F" w:rsidRDefault="00284A77" w:rsidP="0099582F">
      <w:pPr>
        <w:pStyle w:val="heading1"/>
        <w:rPr>
          <w:lang w:eastAsia="zh-CN"/>
        </w:rPr>
      </w:pPr>
      <w:r>
        <w:rPr>
          <w:shd w:val="clear" w:color="auto" w:fill="FFFFFF"/>
        </w:rPr>
        <w:t>A</w:t>
      </w:r>
      <w:r w:rsidR="0099582F">
        <w:rPr>
          <w:shd w:val="clear" w:color="auto" w:fill="FFFFFF"/>
        </w:rPr>
        <w:t>cknowledgment</w:t>
      </w:r>
    </w:p>
    <w:p w14:paraId="7699B5D7" w14:textId="31A8ABEE" w:rsidR="0099582F" w:rsidRPr="00B54973" w:rsidRDefault="0099582F" w:rsidP="0099582F">
      <w:pPr>
        <w:pStyle w:val="p1a"/>
        <w:rPr>
          <w:lang w:eastAsia="zh-CN"/>
        </w:rPr>
      </w:pPr>
      <w:r>
        <w:rPr>
          <w:rFonts w:hint="eastAsia"/>
          <w:lang w:eastAsia="zh-CN"/>
        </w:rPr>
        <w:t>T</w:t>
      </w:r>
      <w:r w:rsidRPr="0099582F">
        <w:rPr>
          <w:lang w:eastAsia="zh-CN"/>
        </w:rPr>
        <w:t>here are no conflicts of interest regarding this study. ChatGPT was employed solely for language polishing to enhance clarity and readability.</w:t>
      </w:r>
    </w:p>
    <w:p w14:paraId="07A353E7" w14:textId="77777777" w:rsidR="00AE4462" w:rsidRPr="00B54973" w:rsidRDefault="00AE4462" w:rsidP="00AE4462">
      <w:pPr>
        <w:pStyle w:val="heading1"/>
        <w:numPr>
          <w:ilvl w:val="0"/>
          <w:numId w:val="0"/>
        </w:numPr>
        <w:ind w:left="567" w:hanging="567"/>
      </w:pPr>
      <w:r w:rsidRPr="00B54973">
        <w:lastRenderedPageBreak/>
        <w:t>References</w:t>
      </w:r>
    </w:p>
    <w:p w14:paraId="46F55371" w14:textId="207773E2" w:rsidR="009E2719" w:rsidRPr="00B54973" w:rsidRDefault="009E2719" w:rsidP="009E2719">
      <w:pPr>
        <w:pStyle w:val="referenceitem"/>
        <w:rPr>
          <w:lang w:eastAsia="zh-CN"/>
        </w:rPr>
      </w:pPr>
      <w:r w:rsidRPr="00B54973">
        <w:rPr>
          <w:lang w:eastAsia="zh-CN"/>
        </w:rPr>
        <w:t xml:space="preserve">Abdulrahman M, A.-Z.: Balancing Act: Exploring the Interplay Between Human Judgment and Artificial Intelligence in Problem-solving, Creativity, and Decision-making. </w:t>
      </w:r>
      <w:proofErr w:type="spellStart"/>
      <w:r w:rsidRPr="00B54973">
        <w:rPr>
          <w:lang w:eastAsia="zh-CN"/>
        </w:rPr>
        <w:t>IgMin</w:t>
      </w:r>
      <w:proofErr w:type="spellEnd"/>
      <w:r w:rsidRPr="00B54973">
        <w:rPr>
          <w:lang w:eastAsia="zh-CN"/>
        </w:rPr>
        <w:t xml:space="preserve"> Res. 2, 145–158 (2024). https://doi.org/10.61927/igmin158.</w:t>
      </w:r>
    </w:p>
    <w:p w14:paraId="4C8EE639" w14:textId="457F7580" w:rsidR="009E2719" w:rsidRPr="00B54973" w:rsidRDefault="009E2719" w:rsidP="009E2719">
      <w:pPr>
        <w:pStyle w:val="referenceitem"/>
        <w:rPr>
          <w:lang w:eastAsia="zh-CN"/>
        </w:rPr>
      </w:pPr>
      <w:r w:rsidRPr="00B54973">
        <w:rPr>
          <w:lang w:eastAsia="zh-CN"/>
        </w:rPr>
        <w:t>Almeida, F., Senapati, B.: Striving for Symbiosis: Human-Machine Relations in the AI Era. In: 2024 IEEE Integrated STEM Education Conference (ISEC). pp. 1–4. IEEE (2024).</w:t>
      </w:r>
    </w:p>
    <w:p w14:paraId="2123002F" w14:textId="2572FA40" w:rsidR="009E2719" w:rsidRPr="00B54973" w:rsidRDefault="009E2719" w:rsidP="009E2719">
      <w:pPr>
        <w:pStyle w:val="referenceitem"/>
        <w:rPr>
          <w:lang w:eastAsia="zh-CN"/>
        </w:rPr>
      </w:pPr>
      <w:proofErr w:type="spellStart"/>
      <w:r w:rsidRPr="00B54973">
        <w:rPr>
          <w:lang w:eastAsia="zh-CN"/>
        </w:rPr>
        <w:t>Barrouillet</w:t>
      </w:r>
      <w:proofErr w:type="spellEnd"/>
      <w:r w:rsidRPr="00B54973">
        <w:rPr>
          <w:lang w:eastAsia="zh-CN"/>
        </w:rPr>
        <w:t>, P.: Theories of cognitive development: From Piaget to today. Developmental Review. 38, 1–12 (2015). https://doi.org/10.1016/j.dr.2015.07.004.</w:t>
      </w:r>
    </w:p>
    <w:p w14:paraId="56CADEFE" w14:textId="2BBA2131" w:rsidR="009E2719" w:rsidRPr="00B54973" w:rsidRDefault="009E2719" w:rsidP="009E2719">
      <w:pPr>
        <w:pStyle w:val="referenceitem"/>
        <w:rPr>
          <w:lang w:eastAsia="zh-CN"/>
        </w:rPr>
      </w:pPr>
      <w:proofErr w:type="spellStart"/>
      <w:r w:rsidRPr="00B54973">
        <w:rPr>
          <w:lang w:eastAsia="zh-CN"/>
        </w:rPr>
        <w:t>Bengio</w:t>
      </w:r>
      <w:proofErr w:type="spellEnd"/>
      <w:r w:rsidRPr="00B54973">
        <w:rPr>
          <w:lang w:eastAsia="zh-CN"/>
        </w:rPr>
        <w:t>, Y., Goodfellow, I., Courville, A.: Deep learning. MIT press Cambridge, MA, USA (2017).</w:t>
      </w:r>
    </w:p>
    <w:p w14:paraId="3FD9A0E6" w14:textId="5B764FEC" w:rsidR="009E2719" w:rsidRPr="00B54973" w:rsidRDefault="009E2719" w:rsidP="009E2719">
      <w:pPr>
        <w:pStyle w:val="referenceitem"/>
        <w:rPr>
          <w:lang w:eastAsia="zh-CN"/>
        </w:rPr>
      </w:pPr>
      <w:proofErr w:type="spellStart"/>
      <w:r w:rsidRPr="00B54973">
        <w:rPr>
          <w:lang w:eastAsia="zh-CN"/>
        </w:rPr>
        <w:t>Bion</w:t>
      </w:r>
      <w:proofErr w:type="spellEnd"/>
      <w:r w:rsidRPr="00B54973">
        <w:rPr>
          <w:lang w:eastAsia="zh-CN"/>
        </w:rPr>
        <w:t>, W., Hinshelwood, R.: Learning From Experience. Routledge, London (2023). https://doi.org/10.4324/9781003411840.</w:t>
      </w:r>
    </w:p>
    <w:p w14:paraId="1AFE5D3E" w14:textId="678C75A6" w:rsidR="009E2719" w:rsidRPr="00B54973" w:rsidRDefault="009E2719" w:rsidP="009E2719">
      <w:pPr>
        <w:pStyle w:val="referenceitem"/>
        <w:rPr>
          <w:lang w:eastAsia="zh-CN"/>
        </w:rPr>
      </w:pPr>
      <w:r w:rsidRPr="00B54973">
        <w:rPr>
          <w:lang w:eastAsia="zh-CN"/>
        </w:rPr>
        <w:t>Biswas, S.: Role of ChatGPT in Computer Programming. Mesopotamian Journal of Computer Science. 8–16 (2023). https://doi.org/10.58496/MJCSC/2023/002.</w:t>
      </w:r>
    </w:p>
    <w:p w14:paraId="2B4BC427" w14:textId="6274FEB0" w:rsidR="009E2719" w:rsidRPr="00B54973" w:rsidRDefault="009E2719" w:rsidP="009E2719">
      <w:pPr>
        <w:pStyle w:val="referenceitem"/>
        <w:rPr>
          <w:lang w:eastAsia="zh-CN"/>
        </w:rPr>
      </w:pPr>
      <w:proofErr w:type="spellStart"/>
      <w:r w:rsidRPr="00B54973">
        <w:rPr>
          <w:lang w:eastAsia="zh-CN"/>
        </w:rPr>
        <w:t>Buçinca</w:t>
      </w:r>
      <w:proofErr w:type="spellEnd"/>
      <w:r w:rsidRPr="00B54973">
        <w:rPr>
          <w:lang w:eastAsia="zh-CN"/>
        </w:rPr>
        <w:t xml:space="preserve">, Z., Malaya, M.B., </w:t>
      </w:r>
      <w:proofErr w:type="spellStart"/>
      <w:r w:rsidRPr="00B54973">
        <w:rPr>
          <w:lang w:eastAsia="zh-CN"/>
        </w:rPr>
        <w:t>Gajos</w:t>
      </w:r>
      <w:proofErr w:type="spellEnd"/>
      <w:r w:rsidRPr="00B54973">
        <w:rPr>
          <w:lang w:eastAsia="zh-CN"/>
        </w:rPr>
        <w:t>, K.Z.: To Trust or to Think: Cognitive Forcing Functions Can Reduce Overreliance on AI in AI-assisted Decision-making. Proc. ACM Hum.-</w:t>
      </w:r>
      <w:proofErr w:type="spellStart"/>
      <w:r w:rsidRPr="00B54973">
        <w:rPr>
          <w:lang w:eastAsia="zh-CN"/>
        </w:rPr>
        <w:t>Comput</w:t>
      </w:r>
      <w:proofErr w:type="spellEnd"/>
      <w:r w:rsidRPr="00B54973">
        <w:rPr>
          <w:lang w:eastAsia="zh-CN"/>
        </w:rPr>
        <w:t>. Interact. 5, 188:1-188:21 (2021). https://doi.org/10.1145/3449287.</w:t>
      </w:r>
    </w:p>
    <w:p w14:paraId="14B0E197" w14:textId="4F7AC9D7" w:rsidR="009E2719" w:rsidRPr="00B54973" w:rsidRDefault="009E2719" w:rsidP="009E2719">
      <w:pPr>
        <w:pStyle w:val="referenceitem"/>
        <w:rPr>
          <w:lang w:eastAsia="zh-CN"/>
        </w:rPr>
      </w:pPr>
      <w:r w:rsidRPr="00B54973">
        <w:rPr>
          <w:lang w:eastAsia="zh-CN"/>
        </w:rPr>
        <w:t>Chen, J.J., Lin, J.C.: Artificial intelligence as a double-edged sword: Wielding the POWER principles to maximize its positive effects and minimize its negative effects. Contemporary Issues in Early Childhood. 25, 146–153 (2024). https://doi.org/10.1177/14639491231169813.</w:t>
      </w:r>
    </w:p>
    <w:p w14:paraId="60CB1407" w14:textId="3D0ECB23" w:rsidR="009E2719" w:rsidRPr="00B54973" w:rsidRDefault="009E2719" w:rsidP="009E2719">
      <w:pPr>
        <w:pStyle w:val="referenceitem"/>
        <w:rPr>
          <w:lang w:eastAsia="zh-CN"/>
        </w:rPr>
      </w:pPr>
      <w:proofErr w:type="spellStart"/>
      <w:r w:rsidRPr="00B54973">
        <w:rPr>
          <w:lang w:eastAsia="zh-CN"/>
        </w:rPr>
        <w:t>Christiano</w:t>
      </w:r>
      <w:proofErr w:type="spellEnd"/>
      <w:r w:rsidRPr="00B54973">
        <w:rPr>
          <w:lang w:eastAsia="zh-CN"/>
        </w:rPr>
        <w:t xml:space="preserve">, P.F., </w:t>
      </w:r>
      <w:proofErr w:type="spellStart"/>
      <w:r w:rsidRPr="00B54973">
        <w:rPr>
          <w:lang w:eastAsia="zh-CN"/>
        </w:rPr>
        <w:t>Leike</w:t>
      </w:r>
      <w:proofErr w:type="spellEnd"/>
      <w:r w:rsidRPr="00B54973">
        <w:rPr>
          <w:lang w:eastAsia="zh-CN"/>
        </w:rPr>
        <w:t xml:space="preserve">, J., Brown, T., </w:t>
      </w:r>
      <w:proofErr w:type="spellStart"/>
      <w:r w:rsidRPr="00B54973">
        <w:rPr>
          <w:lang w:eastAsia="zh-CN"/>
        </w:rPr>
        <w:t>Martic</w:t>
      </w:r>
      <w:proofErr w:type="spellEnd"/>
      <w:r w:rsidRPr="00B54973">
        <w:rPr>
          <w:lang w:eastAsia="zh-CN"/>
        </w:rPr>
        <w:t xml:space="preserve">, M., Legg, S., </w:t>
      </w:r>
      <w:proofErr w:type="spellStart"/>
      <w:r w:rsidRPr="00B54973">
        <w:rPr>
          <w:lang w:eastAsia="zh-CN"/>
        </w:rPr>
        <w:t>Amodei</w:t>
      </w:r>
      <w:proofErr w:type="spellEnd"/>
      <w:r w:rsidRPr="00B54973">
        <w:rPr>
          <w:lang w:eastAsia="zh-CN"/>
        </w:rPr>
        <w:t>, D.: Deep reinforcement learning from human preferences. Advances in neural information processing systems. 30, (2017).</w:t>
      </w:r>
    </w:p>
    <w:p w14:paraId="69CC36E5" w14:textId="4150DC11" w:rsidR="009E2719" w:rsidRPr="00B54973" w:rsidRDefault="009E2719" w:rsidP="009E2719">
      <w:pPr>
        <w:pStyle w:val="referenceitem"/>
        <w:rPr>
          <w:lang w:eastAsia="zh-CN"/>
        </w:rPr>
      </w:pPr>
      <w:r w:rsidRPr="00B54973">
        <w:rPr>
          <w:lang w:eastAsia="zh-CN"/>
        </w:rPr>
        <w:t xml:space="preserve">Clark, A., Chalmers, D.J.: The Extended Mind. In: </w:t>
      </w:r>
      <w:proofErr w:type="spellStart"/>
      <w:r w:rsidRPr="00B54973">
        <w:rPr>
          <w:lang w:eastAsia="zh-CN"/>
        </w:rPr>
        <w:t>Menary</w:t>
      </w:r>
      <w:proofErr w:type="spellEnd"/>
      <w:r w:rsidRPr="00B54973">
        <w:rPr>
          <w:lang w:eastAsia="zh-CN"/>
        </w:rPr>
        <w:t>, R. (ed.) The Extended Mind. pp. 27–42. The MIT Press (2010). https://doi.org/10.7551/mitpress/8535.003.0002.</w:t>
      </w:r>
    </w:p>
    <w:p w14:paraId="5A62CDAD" w14:textId="7E27E574" w:rsidR="009E2719" w:rsidRPr="00B54973" w:rsidRDefault="009E2719" w:rsidP="009E2719">
      <w:pPr>
        <w:pStyle w:val="referenceitem"/>
        <w:rPr>
          <w:lang w:eastAsia="zh-CN"/>
        </w:rPr>
      </w:pPr>
      <w:r w:rsidRPr="00B54973">
        <w:rPr>
          <w:lang w:eastAsia="zh-CN"/>
        </w:rPr>
        <w:t>Cordeiro, J.: The Boundaries of the Human: From Humanism to Transhumanism. World Futures Review. 6, 231–239 (2014). https://doi.org/10.1177/1946756714555916.</w:t>
      </w:r>
    </w:p>
    <w:p w14:paraId="1B794190" w14:textId="53F0EA44" w:rsidR="009E2719" w:rsidRPr="00B54973" w:rsidRDefault="009E2719" w:rsidP="009E2719">
      <w:pPr>
        <w:pStyle w:val="referenceitem"/>
        <w:rPr>
          <w:lang w:eastAsia="zh-CN"/>
        </w:rPr>
      </w:pPr>
      <w:proofErr w:type="spellStart"/>
      <w:r w:rsidRPr="00B54973">
        <w:rPr>
          <w:lang w:eastAsia="zh-CN"/>
        </w:rPr>
        <w:t>DeepSeek</w:t>
      </w:r>
      <w:proofErr w:type="spellEnd"/>
      <w:r w:rsidRPr="00B54973">
        <w:rPr>
          <w:lang w:eastAsia="zh-CN"/>
        </w:rPr>
        <w:t xml:space="preserve">-AI, Guo, D., Yang, D., Zhang, H., Song, J., Zhang, R., Xu, R., Zhu, Q., Ma, S., Wang, P., Bi, X., Zhang, X., Yu, X., Wu, Y., Wu, Z.F., Gou, Z., Shao, Z., Li, Z., Gao, Z., Liu, A., </w:t>
      </w:r>
      <w:proofErr w:type="spellStart"/>
      <w:r w:rsidRPr="00B54973">
        <w:rPr>
          <w:lang w:eastAsia="zh-CN"/>
        </w:rPr>
        <w:t>Xue</w:t>
      </w:r>
      <w:proofErr w:type="spellEnd"/>
      <w:r w:rsidRPr="00B54973">
        <w:rPr>
          <w:lang w:eastAsia="zh-CN"/>
        </w:rPr>
        <w:t xml:space="preserve">, B., Wang, B., Wu, B., Feng, B., Lu, C., Zhao, C., Deng, C., Zhang, C., </w:t>
      </w:r>
      <w:proofErr w:type="spellStart"/>
      <w:r w:rsidRPr="00B54973">
        <w:rPr>
          <w:lang w:eastAsia="zh-CN"/>
        </w:rPr>
        <w:t>Ruan</w:t>
      </w:r>
      <w:proofErr w:type="spellEnd"/>
      <w:r w:rsidRPr="00B54973">
        <w:rPr>
          <w:lang w:eastAsia="zh-CN"/>
        </w:rPr>
        <w:t xml:space="preserve">, C., Dai, D., Chen, D., Ji, D., Li, E., Lin, F., Dai, F., Luo, F., Hao, G., Chen, G., Li, G., Zhang, H., Bao, H., Xu, H., Wang, H., Ding, H., Xin, H., Gao, H., Qu, H., Li, H., Guo, J., Li, J., Wang, J., Chen, J., Yuan, J., </w:t>
      </w:r>
      <w:proofErr w:type="spellStart"/>
      <w:r w:rsidRPr="00B54973">
        <w:rPr>
          <w:lang w:eastAsia="zh-CN"/>
        </w:rPr>
        <w:t>Qiu</w:t>
      </w:r>
      <w:proofErr w:type="spellEnd"/>
      <w:r w:rsidRPr="00B54973">
        <w:rPr>
          <w:lang w:eastAsia="zh-CN"/>
        </w:rPr>
        <w:t xml:space="preserve">, J., Li, J., Cai, J.L., Ni, J., Liang, J., Chen, J., Dong, K., Hu, K., Gao, K., Guan, K., Huang, K., Yu, K., Wang, L., Zhang, L., Zhao, L., Wang, L., Zhang, L., Xu, L., Xia, L., Zhang, M., Zhang, M., Tang, M., Li, M., Wang, M., Li, M., Tian, N., Huang, P., Zhang, P., Wang, Q., Chen, Q., Du, Q., Ge, R., Zhang, R., Pan, R., Wang, R., Chen, R.J., </w:t>
      </w:r>
      <w:proofErr w:type="spellStart"/>
      <w:r w:rsidRPr="00B54973">
        <w:rPr>
          <w:lang w:eastAsia="zh-CN"/>
        </w:rPr>
        <w:t>Jin</w:t>
      </w:r>
      <w:proofErr w:type="spellEnd"/>
      <w:r w:rsidRPr="00B54973">
        <w:rPr>
          <w:lang w:eastAsia="zh-CN"/>
        </w:rPr>
        <w:t xml:space="preserve">, R.L., Chen, R., Lu, S., Zhou, S., Chen, S., Ye, S., Wang, S., Yu, S., Zhou, S., Pan, S., Li, S.S., Zhou, S., Wu, S., Ye, S., Yun, T., Pei, T., Sun, T., Wang, T., Zeng, W., Zhao, W., Liu, W., Liang, W., Gao, W., Yu, W., Zhang, W., Xiao, W.L., An, W., Liu, X., Wang, X., Chen, X., </w:t>
      </w:r>
      <w:proofErr w:type="spellStart"/>
      <w:r w:rsidRPr="00B54973">
        <w:rPr>
          <w:lang w:eastAsia="zh-CN"/>
        </w:rPr>
        <w:t>Nie</w:t>
      </w:r>
      <w:proofErr w:type="spellEnd"/>
      <w:r w:rsidRPr="00B54973">
        <w:rPr>
          <w:lang w:eastAsia="zh-CN"/>
        </w:rPr>
        <w:t xml:space="preserve">, X., Cheng, X., Liu, X., </w:t>
      </w:r>
      <w:proofErr w:type="spellStart"/>
      <w:r w:rsidRPr="00B54973">
        <w:rPr>
          <w:lang w:eastAsia="zh-CN"/>
        </w:rPr>
        <w:t>Xie</w:t>
      </w:r>
      <w:proofErr w:type="spellEnd"/>
      <w:r w:rsidRPr="00B54973">
        <w:rPr>
          <w:lang w:eastAsia="zh-CN"/>
        </w:rPr>
        <w:t xml:space="preserve">, X., Liu, X., Yang, X., Li, X., </w:t>
      </w:r>
      <w:proofErr w:type="spellStart"/>
      <w:r w:rsidRPr="00B54973">
        <w:rPr>
          <w:lang w:eastAsia="zh-CN"/>
        </w:rPr>
        <w:t>Su</w:t>
      </w:r>
      <w:proofErr w:type="spellEnd"/>
      <w:r w:rsidRPr="00B54973">
        <w:rPr>
          <w:lang w:eastAsia="zh-CN"/>
        </w:rPr>
        <w:t xml:space="preserve">, X., Lin, X., Li, X.Q., </w:t>
      </w:r>
      <w:proofErr w:type="spellStart"/>
      <w:r w:rsidRPr="00B54973">
        <w:rPr>
          <w:lang w:eastAsia="zh-CN"/>
        </w:rPr>
        <w:t>Jin</w:t>
      </w:r>
      <w:proofErr w:type="spellEnd"/>
      <w:r w:rsidRPr="00B54973">
        <w:rPr>
          <w:lang w:eastAsia="zh-CN"/>
        </w:rPr>
        <w:t xml:space="preserve">, X., Shen, X., Chen, X., Sun, X., Wang, X., Song, X., Zhou, X., Wang, X., Shan, X., Li, Y.K., Wang, Y.Q., Wei, Y.X., Zhang, Y., Xu, Y., Li, Y., Zhao, Y., Sun, Y., Wang, Y., Yu, Y., Zhang, Y., Shi, Y., </w:t>
      </w:r>
      <w:proofErr w:type="spellStart"/>
      <w:r w:rsidRPr="00B54973">
        <w:rPr>
          <w:lang w:eastAsia="zh-CN"/>
        </w:rPr>
        <w:t>Xiong</w:t>
      </w:r>
      <w:proofErr w:type="spellEnd"/>
      <w:r w:rsidRPr="00B54973">
        <w:rPr>
          <w:lang w:eastAsia="zh-CN"/>
        </w:rPr>
        <w:t xml:space="preserve">, Y., He, Y., Piao, Y., Wang, Y., Tan, Y., Ma, Y., Liu, Y., Guo, Y., </w:t>
      </w:r>
      <w:proofErr w:type="spellStart"/>
      <w:r w:rsidRPr="00B54973">
        <w:rPr>
          <w:lang w:eastAsia="zh-CN"/>
        </w:rPr>
        <w:t>Ou</w:t>
      </w:r>
      <w:proofErr w:type="spellEnd"/>
      <w:r w:rsidRPr="00B54973">
        <w:rPr>
          <w:lang w:eastAsia="zh-CN"/>
        </w:rPr>
        <w:t xml:space="preserve">, Y., Wang, Y., Gong, Y., Zou, Y., He, Y., </w:t>
      </w:r>
      <w:proofErr w:type="spellStart"/>
      <w:r w:rsidRPr="00B54973">
        <w:rPr>
          <w:lang w:eastAsia="zh-CN"/>
        </w:rPr>
        <w:t>Xiong</w:t>
      </w:r>
      <w:proofErr w:type="spellEnd"/>
      <w:r w:rsidRPr="00B54973">
        <w:rPr>
          <w:lang w:eastAsia="zh-CN"/>
        </w:rPr>
        <w:t xml:space="preserve">, Y., Luo, Y., You, Y., Liu, Y., Zhou, Y., Zhu, Y.X., Xu, Y., Huang, Y., Li, Y., Zheng, Y., Zhu, Y., Ma, Y., Tang, Y., </w:t>
      </w:r>
      <w:proofErr w:type="spellStart"/>
      <w:r w:rsidRPr="00B54973">
        <w:rPr>
          <w:lang w:eastAsia="zh-CN"/>
        </w:rPr>
        <w:t>Zha</w:t>
      </w:r>
      <w:proofErr w:type="spellEnd"/>
      <w:r w:rsidRPr="00B54973">
        <w:rPr>
          <w:lang w:eastAsia="zh-CN"/>
        </w:rPr>
        <w:t xml:space="preserve">, Y., Yan, Y., Ren, Z.Z., Ren, Z., Sha, Z., Fu, Z., Xu, Z., </w:t>
      </w:r>
      <w:proofErr w:type="spellStart"/>
      <w:r w:rsidRPr="00B54973">
        <w:rPr>
          <w:lang w:eastAsia="zh-CN"/>
        </w:rPr>
        <w:t>Xie</w:t>
      </w:r>
      <w:proofErr w:type="spellEnd"/>
      <w:r w:rsidRPr="00B54973">
        <w:rPr>
          <w:lang w:eastAsia="zh-CN"/>
        </w:rPr>
        <w:t xml:space="preserve">, Z., Zhang, Z., Hao, Z., Ma, Z., Yan, Z., Wu, Z., Gu, Z., Zhu, Z., Liu, Z., Li, Z., </w:t>
      </w:r>
      <w:proofErr w:type="spellStart"/>
      <w:r w:rsidRPr="00B54973">
        <w:rPr>
          <w:lang w:eastAsia="zh-CN"/>
        </w:rPr>
        <w:t>Xie</w:t>
      </w:r>
      <w:proofErr w:type="spellEnd"/>
      <w:r w:rsidRPr="00B54973">
        <w:rPr>
          <w:lang w:eastAsia="zh-CN"/>
        </w:rPr>
        <w:t xml:space="preserve">, Z., Song, Z., Pan, </w:t>
      </w:r>
      <w:r w:rsidRPr="00B54973">
        <w:rPr>
          <w:lang w:eastAsia="zh-CN"/>
        </w:rPr>
        <w:lastRenderedPageBreak/>
        <w:t>Z., Huang, Z., Xu, Z., Zhang, Z., Zhang, Z.: DeepSeek-R1: Incentivizing Reasoning Capability in LLMs via Reinforcement Learning, http://arxiv.org/abs/2501.12948, (2025). https://doi.org/10.48550/arXiv.2501.12948.</w:t>
      </w:r>
    </w:p>
    <w:p w14:paraId="15D4F161" w14:textId="4F50B1F7" w:rsidR="009E2719" w:rsidRPr="00B54973" w:rsidRDefault="009E2719" w:rsidP="009E2719">
      <w:pPr>
        <w:pStyle w:val="referenceitem"/>
        <w:rPr>
          <w:lang w:eastAsia="zh-CN"/>
        </w:rPr>
      </w:pPr>
      <w:proofErr w:type="spellStart"/>
      <w:r w:rsidRPr="00B54973">
        <w:rPr>
          <w:lang w:eastAsia="zh-CN"/>
        </w:rPr>
        <w:t>Dellermann</w:t>
      </w:r>
      <w:proofErr w:type="spellEnd"/>
      <w:r w:rsidRPr="00B54973">
        <w:rPr>
          <w:lang w:eastAsia="zh-CN"/>
        </w:rPr>
        <w:t xml:space="preserve">, D., </w:t>
      </w:r>
      <w:proofErr w:type="spellStart"/>
      <w:r w:rsidRPr="00B54973">
        <w:rPr>
          <w:lang w:eastAsia="zh-CN"/>
        </w:rPr>
        <w:t>Ebel</w:t>
      </w:r>
      <w:proofErr w:type="spellEnd"/>
      <w:r w:rsidRPr="00B54973">
        <w:rPr>
          <w:lang w:eastAsia="zh-CN"/>
        </w:rPr>
        <w:t xml:space="preserve">, P., </w:t>
      </w:r>
      <w:proofErr w:type="spellStart"/>
      <w:r w:rsidRPr="00B54973">
        <w:rPr>
          <w:lang w:eastAsia="zh-CN"/>
        </w:rPr>
        <w:t>Söllner</w:t>
      </w:r>
      <w:proofErr w:type="spellEnd"/>
      <w:r w:rsidRPr="00B54973">
        <w:rPr>
          <w:lang w:eastAsia="zh-CN"/>
        </w:rPr>
        <w:t xml:space="preserve">, M., </w:t>
      </w:r>
      <w:proofErr w:type="spellStart"/>
      <w:r w:rsidRPr="00B54973">
        <w:rPr>
          <w:lang w:eastAsia="zh-CN"/>
        </w:rPr>
        <w:t>Leimeister</w:t>
      </w:r>
      <w:proofErr w:type="spellEnd"/>
      <w:r w:rsidRPr="00B54973">
        <w:rPr>
          <w:lang w:eastAsia="zh-CN"/>
        </w:rPr>
        <w:t>, J.M.: Hybrid Intelligence. Bus Inf Syst Eng. 61, 637–643 (2019). https://doi.org/10.1007/s12599-019-00595-2.</w:t>
      </w:r>
    </w:p>
    <w:p w14:paraId="253CD554" w14:textId="3DB0FA34" w:rsidR="009E2719" w:rsidRPr="00B54973" w:rsidRDefault="009E2719" w:rsidP="009E2719">
      <w:pPr>
        <w:pStyle w:val="referenceitem"/>
        <w:rPr>
          <w:lang w:eastAsia="zh-CN"/>
        </w:rPr>
      </w:pPr>
      <w:proofErr w:type="spellStart"/>
      <w:r w:rsidRPr="00B54973">
        <w:rPr>
          <w:lang w:eastAsia="zh-CN"/>
        </w:rPr>
        <w:t>DiSessa</w:t>
      </w:r>
      <w:proofErr w:type="spellEnd"/>
      <w:r w:rsidRPr="00B54973">
        <w:rPr>
          <w:lang w:eastAsia="zh-CN"/>
        </w:rPr>
        <w:t>, A.A.: Toward an epistemology of physics. Cognition and instruction. 10, 105–225 (1993).</w:t>
      </w:r>
    </w:p>
    <w:p w14:paraId="29D0CF1C" w14:textId="08EBD6BE" w:rsidR="009E2719" w:rsidRPr="00B54973" w:rsidRDefault="009E2719" w:rsidP="009E2719">
      <w:pPr>
        <w:pStyle w:val="referenceitem"/>
        <w:rPr>
          <w:lang w:eastAsia="zh-CN"/>
        </w:rPr>
      </w:pPr>
      <w:r w:rsidRPr="00B54973">
        <w:rPr>
          <w:lang w:eastAsia="zh-CN"/>
        </w:rPr>
        <w:t>Dong, X., Tian, Y., He, M., Wang, T.: When knowledge workers meet AI? The double-edged sword effects of AI adoption on innovative work behavior. Journal of Knowledge Management. 29, 113–147 (2024). https://doi.org/10.1108/JKM-02-2024-0222.</w:t>
      </w:r>
    </w:p>
    <w:p w14:paraId="4AA6259C" w14:textId="5D50F636" w:rsidR="009E2719" w:rsidRPr="00B54973" w:rsidRDefault="009E2719" w:rsidP="009E2719">
      <w:pPr>
        <w:pStyle w:val="referenceitem"/>
        <w:rPr>
          <w:lang w:eastAsia="zh-CN"/>
        </w:rPr>
      </w:pPr>
      <w:r w:rsidRPr="00B54973">
        <w:rPr>
          <w:lang w:eastAsia="zh-CN"/>
        </w:rPr>
        <w:t>Flavell, J.H.: Metacognition and cognitive monitoring: A new area of cognitive–developmental inquiry. American psychologist. 34, 906 (1979).</w:t>
      </w:r>
    </w:p>
    <w:p w14:paraId="62FDB39A" w14:textId="44FFE996" w:rsidR="009E2719" w:rsidRPr="00B54973" w:rsidRDefault="009E2719" w:rsidP="009E2719">
      <w:pPr>
        <w:pStyle w:val="referenceitem"/>
        <w:rPr>
          <w:lang w:eastAsia="zh-CN"/>
        </w:rPr>
      </w:pPr>
      <w:proofErr w:type="spellStart"/>
      <w:r w:rsidRPr="00B54973">
        <w:rPr>
          <w:lang w:eastAsia="zh-CN"/>
        </w:rPr>
        <w:t>Gero</w:t>
      </w:r>
      <w:proofErr w:type="spellEnd"/>
      <w:r w:rsidRPr="00B54973">
        <w:rPr>
          <w:lang w:eastAsia="zh-CN"/>
        </w:rPr>
        <w:t>, J.S.: Design Prototypes: A Knowledge Representation Schema for Design. AI Magazine. 11, 26–26 (1990). https://doi.org/10.1609/aimag.v11i4.854.</w:t>
      </w:r>
    </w:p>
    <w:p w14:paraId="39E0044C" w14:textId="77F17BC5" w:rsidR="009E2719" w:rsidRPr="00B54973" w:rsidRDefault="009E2719" w:rsidP="009E2719">
      <w:pPr>
        <w:pStyle w:val="referenceitem"/>
        <w:rPr>
          <w:lang w:eastAsia="zh-CN"/>
        </w:rPr>
      </w:pPr>
      <w:r w:rsidRPr="00B54973">
        <w:rPr>
          <w:lang w:eastAsia="zh-CN"/>
        </w:rPr>
        <w:t xml:space="preserve">Glickman, M., </w:t>
      </w:r>
      <w:proofErr w:type="spellStart"/>
      <w:r w:rsidRPr="00B54973">
        <w:rPr>
          <w:lang w:eastAsia="zh-CN"/>
        </w:rPr>
        <w:t>Sharot</w:t>
      </w:r>
      <w:proofErr w:type="spellEnd"/>
      <w:r w:rsidRPr="00B54973">
        <w:rPr>
          <w:lang w:eastAsia="zh-CN"/>
        </w:rPr>
        <w:t xml:space="preserve">, T.: How human–AI feedback loops alter human perceptual, emotional and social judgements. Nat Hum </w:t>
      </w:r>
      <w:proofErr w:type="spellStart"/>
      <w:r w:rsidRPr="00B54973">
        <w:rPr>
          <w:lang w:eastAsia="zh-CN"/>
        </w:rPr>
        <w:t>Behav</w:t>
      </w:r>
      <w:proofErr w:type="spellEnd"/>
      <w:r w:rsidRPr="00B54973">
        <w:rPr>
          <w:lang w:eastAsia="zh-CN"/>
        </w:rPr>
        <w:t>. 1–15 (2024). https://doi.org/10.1038/s41562-024-02077-2.</w:t>
      </w:r>
    </w:p>
    <w:p w14:paraId="621199EB" w14:textId="2136A8BC" w:rsidR="009E2719" w:rsidRPr="00B54973" w:rsidRDefault="009E2719" w:rsidP="009E2719">
      <w:pPr>
        <w:pStyle w:val="referenceitem"/>
        <w:rPr>
          <w:lang w:eastAsia="zh-CN"/>
        </w:rPr>
      </w:pPr>
      <w:r w:rsidRPr="00B54973">
        <w:rPr>
          <w:lang w:eastAsia="zh-CN"/>
        </w:rPr>
        <w:t>Guo, L., Lu, Z., Yao, L.: Human-Machine Interaction Sensing Technology Based on Hand Gesture Recognition: A Review. IEEE Transactions on Human-Machine Systems. 51, 300–309 (2021). https://doi.org/10.1109/THMS.2021.3086003.</w:t>
      </w:r>
    </w:p>
    <w:p w14:paraId="584AC30E" w14:textId="07B39893" w:rsidR="009E2719" w:rsidRPr="00B54973" w:rsidRDefault="009E2719" w:rsidP="009E2719">
      <w:pPr>
        <w:pStyle w:val="referenceitem"/>
        <w:rPr>
          <w:lang w:eastAsia="zh-CN"/>
        </w:rPr>
      </w:pPr>
      <w:r w:rsidRPr="00B54973">
        <w:rPr>
          <w:lang w:eastAsia="zh-CN"/>
        </w:rPr>
        <w:t>Hebb, D.O.: The organization of behavior: A neuropsychological theory. Psychology press (2005).</w:t>
      </w:r>
    </w:p>
    <w:p w14:paraId="4729E580" w14:textId="2C713B78" w:rsidR="009E2719" w:rsidRPr="00B54973" w:rsidRDefault="009E2719" w:rsidP="009E2719">
      <w:pPr>
        <w:pStyle w:val="referenceitem"/>
        <w:rPr>
          <w:lang w:eastAsia="zh-CN"/>
        </w:rPr>
      </w:pPr>
      <w:proofErr w:type="spellStart"/>
      <w:r w:rsidRPr="00B54973">
        <w:rPr>
          <w:lang w:eastAsia="zh-CN"/>
        </w:rPr>
        <w:t>Jabareen</w:t>
      </w:r>
      <w:proofErr w:type="spellEnd"/>
      <w:r w:rsidRPr="00B54973">
        <w:rPr>
          <w:lang w:eastAsia="zh-CN"/>
        </w:rPr>
        <w:t>, Y.: Building a Conceptual Framework: Philosophy, Definitions, and Procedure. International Journal of Qualitative Methods. 8, 49–62 (2009). https://doi.org/10.1177/160940690900800406.</w:t>
      </w:r>
    </w:p>
    <w:p w14:paraId="2D562B2E" w14:textId="4E1DD1E1" w:rsidR="009E2719" w:rsidRPr="00B54973" w:rsidRDefault="009E2719" w:rsidP="009E2719">
      <w:pPr>
        <w:pStyle w:val="referenceitem"/>
        <w:rPr>
          <w:lang w:eastAsia="zh-CN"/>
        </w:rPr>
      </w:pPr>
      <w:r w:rsidRPr="00B54973">
        <w:rPr>
          <w:lang w:eastAsia="zh-CN"/>
        </w:rPr>
        <w:t xml:space="preserve">Kung, T.H., Cheatham, M., </w:t>
      </w:r>
      <w:proofErr w:type="spellStart"/>
      <w:r w:rsidRPr="00B54973">
        <w:rPr>
          <w:lang w:eastAsia="zh-CN"/>
        </w:rPr>
        <w:t>Medenilla</w:t>
      </w:r>
      <w:proofErr w:type="spellEnd"/>
      <w:r w:rsidRPr="00B54973">
        <w:rPr>
          <w:lang w:eastAsia="zh-CN"/>
        </w:rPr>
        <w:t xml:space="preserve">, A., </w:t>
      </w:r>
      <w:proofErr w:type="spellStart"/>
      <w:r w:rsidRPr="00B54973">
        <w:rPr>
          <w:lang w:eastAsia="zh-CN"/>
        </w:rPr>
        <w:t>Sillos</w:t>
      </w:r>
      <w:proofErr w:type="spellEnd"/>
      <w:r w:rsidRPr="00B54973">
        <w:rPr>
          <w:lang w:eastAsia="zh-CN"/>
        </w:rPr>
        <w:t xml:space="preserve">, C., De Leon, L., </w:t>
      </w:r>
      <w:proofErr w:type="spellStart"/>
      <w:r w:rsidRPr="00B54973">
        <w:rPr>
          <w:lang w:eastAsia="zh-CN"/>
        </w:rPr>
        <w:t>Elepaño</w:t>
      </w:r>
      <w:proofErr w:type="spellEnd"/>
      <w:r w:rsidRPr="00B54973">
        <w:rPr>
          <w:lang w:eastAsia="zh-CN"/>
        </w:rPr>
        <w:t xml:space="preserve">, C., </w:t>
      </w:r>
      <w:proofErr w:type="spellStart"/>
      <w:r w:rsidRPr="00B54973">
        <w:rPr>
          <w:lang w:eastAsia="zh-CN"/>
        </w:rPr>
        <w:t>Madriaga</w:t>
      </w:r>
      <w:proofErr w:type="spellEnd"/>
      <w:r w:rsidRPr="00B54973">
        <w:rPr>
          <w:lang w:eastAsia="zh-CN"/>
        </w:rPr>
        <w:t xml:space="preserve">, M., </w:t>
      </w:r>
      <w:proofErr w:type="spellStart"/>
      <w:r w:rsidRPr="00B54973">
        <w:rPr>
          <w:lang w:eastAsia="zh-CN"/>
        </w:rPr>
        <w:t>Aggabao</w:t>
      </w:r>
      <w:proofErr w:type="spellEnd"/>
      <w:r w:rsidRPr="00B54973">
        <w:rPr>
          <w:lang w:eastAsia="zh-CN"/>
        </w:rPr>
        <w:t xml:space="preserve">, R., Diaz-Candido, G., </w:t>
      </w:r>
      <w:proofErr w:type="spellStart"/>
      <w:r w:rsidRPr="00B54973">
        <w:rPr>
          <w:lang w:eastAsia="zh-CN"/>
        </w:rPr>
        <w:t>Maningo</w:t>
      </w:r>
      <w:proofErr w:type="spellEnd"/>
      <w:r w:rsidRPr="00B54973">
        <w:rPr>
          <w:lang w:eastAsia="zh-CN"/>
        </w:rPr>
        <w:t>, J., Tseng, V.: Performance of ChatGPT on USMLE: Potential for AI-assisted medical education using large language models. PLOS Digit Health. 2, e0000198 (2023). https://doi.org/10.1371/journal.pdig.0000198.</w:t>
      </w:r>
    </w:p>
    <w:p w14:paraId="5DC348B8" w14:textId="5046106F" w:rsidR="009E2719" w:rsidRPr="00B54973" w:rsidRDefault="009E2719" w:rsidP="009E2719">
      <w:pPr>
        <w:pStyle w:val="referenceitem"/>
        <w:rPr>
          <w:lang w:eastAsia="zh-CN"/>
        </w:rPr>
      </w:pPr>
      <w:r w:rsidRPr="00B54973">
        <w:rPr>
          <w:lang w:eastAsia="zh-CN"/>
        </w:rPr>
        <w:t>Lave, J., Wenger, E.: Situated learning: Legitimate peripheral participation. Cambridge university press (1991).</w:t>
      </w:r>
    </w:p>
    <w:p w14:paraId="27C99FD9" w14:textId="068DB917" w:rsidR="009E2719" w:rsidRPr="00B54973" w:rsidRDefault="009E2719" w:rsidP="009E2719">
      <w:pPr>
        <w:pStyle w:val="referenceitem"/>
        <w:rPr>
          <w:lang w:eastAsia="zh-CN"/>
        </w:rPr>
      </w:pPr>
      <w:proofErr w:type="spellStart"/>
      <w:r w:rsidRPr="00B54973">
        <w:rPr>
          <w:lang w:eastAsia="zh-CN"/>
        </w:rPr>
        <w:t>LeCun</w:t>
      </w:r>
      <w:proofErr w:type="spellEnd"/>
      <w:r w:rsidRPr="00B54973">
        <w:rPr>
          <w:lang w:eastAsia="zh-CN"/>
        </w:rPr>
        <w:t xml:space="preserve">, Y., </w:t>
      </w:r>
      <w:proofErr w:type="spellStart"/>
      <w:r w:rsidRPr="00B54973">
        <w:rPr>
          <w:lang w:eastAsia="zh-CN"/>
        </w:rPr>
        <w:t>Bengio</w:t>
      </w:r>
      <w:proofErr w:type="spellEnd"/>
      <w:r w:rsidRPr="00B54973">
        <w:rPr>
          <w:lang w:eastAsia="zh-CN"/>
        </w:rPr>
        <w:t>, Y., Hinton, G.: Deep learning. nature. 521, 436–444 (2015).</w:t>
      </w:r>
    </w:p>
    <w:p w14:paraId="7D061BF9" w14:textId="03EE8066" w:rsidR="009E2719" w:rsidRPr="00B54973" w:rsidRDefault="009E2719" w:rsidP="009E2719">
      <w:pPr>
        <w:pStyle w:val="referenceitem"/>
        <w:rPr>
          <w:lang w:eastAsia="zh-CN"/>
        </w:rPr>
      </w:pPr>
      <w:proofErr w:type="spellStart"/>
      <w:r w:rsidRPr="00B54973">
        <w:rPr>
          <w:lang w:eastAsia="zh-CN"/>
        </w:rPr>
        <w:t>Licklider</w:t>
      </w:r>
      <w:proofErr w:type="spellEnd"/>
      <w:r w:rsidRPr="00B54973">
        <w:rPr>
          <w:lang w:eastAsia="zh-CN"/>
        </w:rPr>
        <w:t>, J.C.R.: Man-Computer Symbiosis. IRE Transactions on Human Factors in Electronics. HFE-1, 4–11 (1960). https://doi.org/10.1109/THFE2.1960.4503259.</w:t>
      </w:r>
    </w:p>
    <w:p w14:paraId="6E6C1EFC" w14:textId="6FC08A51" w:rsidR="009E2719" w:rsidRPr="00B54973" w:rsidRDefault="009E2719" w:rsidP="009E2719">
      <w:pPr>
        <w:pStyle w:val="referenceitem"/>
        <w:rPr>
          <w:lang w:eastAsia="zh-CN"/>
        </w:rPr>
      </w:pPr>
      <w:proofErr w:type="spellStart"/>
      <w:r w:rsidRPr="00B54973">
        <w:rPr>
          <w:lang w:eastAsia="zh-CN"/>
        </w:rPr>
        <w:t>Lynham</w:t>
      </w:r>
      <w:proofErr w:type="spellEnd"/>
      <w:r w:rsidRPr="00B54973">
        <w:rPr>
          <w:lang w:eastAsia="zh-CN"/>
        </w:rPr>
        <w:t>, S.A.: The general method of theory-building research in applied disciplines. Advances in developing human resources. 4, 221–241 (2002).</w:t>
      </w:r>
    </w:p>
    <w:p w14:paraId="44ED8961" w14:textId="48872748" w:rsidR="009E2719" w:rsidRPr="00B54973" w:rsidRDefault="009E2719" w:rsidP="009E2719">
      <w:pPr>
        <w:pStyle w:val="referenceitem"/>
        <w:rPr>
          <w:lang w:eastAsia="zh-CN"/>
        </w:rPr>
      </w:pPr>
      <w:r w:rsidRPr="00B54973">
        <w:rPr>
          <w:lang w:eastAsia="zh-CN"/>
        </w:rPr>
        <w:t xml:space="preserve">Mitchell, R.L.C., Phillips, L.H.: The overlapping relationship between emotion perception and theory of mind. </w:t>
      </w:r>
      <w:proofErr w:type="spellStart"/>
      <w:r w:rsidRPr="00B54973">
        <w:rPr>
          <w:lang w:eastAsia="zh-CN"/>
        </w:rPr>
        <w:t>Neuropsychologia</w:t>
      </w:r>
      <w:proofErr w:type="spellEnd"/>
      <w:r w:rsidRPr="00B54973">
        <w:rPr>
          <w:lang w:eastAsia="zh-CN"/>
        </w:rPr>
        <w:t>. 70, 1–10 (2015). https://doi.org/10.1016/j.neuropsychologia.2015.02.018.</w:t>
      </w:r>
    </w:p>
    <w:p w14:paraId="67BC345D" w14:textId="03FAD7B1" w:rsidR="009E2719" w:rsidRPr="00B54973" w:rsidRDefault="009E2719" w:rsidP="009E2719">
      <w:pPr>
        <w:pStyle w:val="referenceitem"/>
        <w:rPr>
          <w:lang w:eastAsia="zh-CN"/>
        </w:rPr>
      </w:pPr>
      <w:r w:rsidRPr="00B54973">
        <w:rPr>
          <w:lang w:eastAsia="zh-CN"/>
        </w:rPr>
        <w:t>Mitchell, T.M.: The discipline of machine learning. Carnegie Mellon University, School of Computer Science, Machine Learning … (2006).</w:t>
      </w:r>
    </w:p>
    <w:p w14:paraId="3A31C3BB" w14:textId="49314F4E" w:rsidR="009E2719" w:rsidRPr="00B54973" w:rsidRDefault="009E2719" w:rsidP="009E2719">
      <w:pPr>
        <w:pStyle w:val="referenceitem"/>
        <w:rPr>
          <w:lang w:eastAsia="zh-CN"/>
        </w:rPr>
      </w:pPr>
      <w:r w:rsidRPr="00B54973">
        <w:rPr>
          <w:lang w:eastAsia="zh-CN"/>
        </w:rPr>
        <w:t>Nguyen, A., Hong, Y., Dang, B., Huang, X.: Human-AI collaboration patterns in AI-assisted academic writing. Studies in Higher Education. 1–18 (2024).</w:t>
      </w:r>
    </w:p>
    <w:p w14:paraId="222E9EA6" w14:textId="03BC5169" w:rsidR="009E2719" w:rsidRPr="00B54973" w:rsidRDefault="009E2719" w:rsidP="009E2719">
      <w:pPr>
        <w:pStyle w:val="referenceitem"/>
        <w:rPr>
          <w:lang w:eastAsia="zh-CN"/>
        </w:rPr>
      </w:pPr>
      <w:r w:rsidRPr="00B54973">
        <w:rPr>
          <w:lang w:eastAsia="zh-CN"/>
        </w:rPr>
        <w:t>Piaget, J.: The origins of intelligence in children. International University. (1952).</w:t>
      </w:r>
    </w:p>
    <w:p w14:paraId="7189053E" w14:textId="6A8BD619" w:rsidR="009E2719" w:rsidRPr="00B54973" w:rsidRDefault="009E2719" w:rsidP="009E2719">
      <w:pPr>
        <w:pStyle w:val="referenceitem"/>
        <w:rPr>
          <w:lang w:eastAsia="zh-CN"/>
        </w:rPr>
      </w:pPr>
      <w:r w:rsidRPr="00B54973">
        <w:rPr>
          <w:lang w:eastAsia="zh-CN"/>
        </w:rPr>
        <w:t xml:space="preserve">Popa, S.L., </w:t>
      </w:r>
      <w:proofErr w:type="spellStart"/>
      <w:r w:rsidRPr="00B54973">
        <w:rPr>
          <w:lang w:eastAsia="zh-CN"/>
        </w:rPr>
        <w:t>Ismaiel</w:t>
      </w:r>
      <w:proofErr w:type="spellEnd"/>
      <w:r w:rsidRPr="00B54973">
        <w:rPr>
          <w:lang w:eastAsia="zh-CN"/>
        </w:rPr>
        <w:t xml:space="preserve">, A., </w:t>
      </w:r>
      <w:proofErr w:type="spellStart"/>
      <w:r w:rsidRPr="00B54973">
        <w:rPr>
          <w:lang w:eastAsia="zh-CN"/>
        </w:rPr>
        <w:t>Brata</w:t>
      </w:r>
      <w:proofErr w:type="spellEnd"/>
      <w:r w:rsidRPr="00B54973">
        <w:rPr>
          <w:lang w:eastAsia="zh-CN"/>
        </w:rPr>
        <w:t xml:space="preserve">, V.D., </w:t>
      </w:r>
      <w:proofErr w:type="spellStart"/>
      <w:r w:rsidRPr="00B54973">
        <w:rPr>
          <w:lang w:eastAsia="zh-CN"/>
        </w:rPr>
        <w:t>Turtoi</w:t>
      </w:r>
      <w:proofErr w:type="spellEnd"/>
      <w:r w:rsidRPr="00B54973">
        <w:rPr>
          <w:lang w:eastAsia="zh-CN"/>
        </w:rPr>
        <w:t xml:space="preserve">, D.C., </w:t>
      </w:r>
      <w:proofErr w:type="spellStart"/>
      <w:r w:rsidRPr="00B54973">
        <w:rPr>
          <w:lang w:eastAsia="zh-CN"/>
        </w:rPr>
        <w:t>Barsan</w:t>
      </w:r>
      <w:proofErr w:type="spellEnd"/>
      <w:r w:rsidRPr="00B54973">
        <w:rPr>
          <w:lang w:eastAsia="zh-CN"/>
        </w:rPr>
        <w:t xml:space="preserve">, M., </w:t>
      </w:r>
      <w:proofErr w:type="spellStart"/>
      <w:r w:rsidRPr="00B54973">
        <w:rPr>
          <w:lang w:eastAsia="zh-CN"/>
        </w:rPr>
        <w:t>Czako</w:t>
      </w:r>
      <w:proofErr w:type="spellEnd"/>
      <w:r w:rsidRPr="00B54973">
        <w:rPr>
          <w:lang w:eastAsia="zh-CN"/>
        </w:rPr>
        <w:t xml:space="preserve">, Z., Pop, C., Muresan, L., </w:t>
      </w:r>
      <w:proofErr w:type="spellStart"/>
      <w:r w:rsidRPr="00B54973">
        <w:rPr>
          <w:lang w:eastAsia="zh-CN"/>
        </w:rPr>
        <w:t>Fadgyas</w:t>
      </w:r>
      <w:proofErr w:type="spellEnd"/>
      <w:r w:rsidRPr="00B54973">
        <w:rPr>
          <w:lang w:eastAsia="zh-CN"/>
        </w:rPr>
        <w:t xml:space="preserve"> </w:t>
      </w:r>
      <w:proofErr w:type="spellStart"/>
      <w:r w:rsidRPr="00B54973">
        <w:rPr>
          <w:lang w:eastAsia="zh-CN"/>
        </w:rPr>
        <w:t>Stanculete</w:t>
      </w:r>
      <w:proofErr w:type="spellEnd"/>
      <w:r w:rsidRPr="00B54973">
        <w:rPr>
          <w:lang w:eastAsia="zh-CN"/>
        </w:rPr>
        <w:t xml:space="preserve">, M., </w:t>
      </w:r>
      <w:proofErr w:type="spellStart"/>
      <w:r w:rsidRPr="00B54973">
        <w:rPr>
          <w:lang w:eastAsia="zh-CN"/>
        </w:rPr>
        <w:t>Dumitrascu</w:t>
      </w:r>
      <w:proofErr w:type="spellEnd"/>
      <w:r w:rsidRPr="00B54973">
        <w:rPr>
          <w:lang w:eastAsia="zh-CN"/>
        </w:rPr>
        <w:t>, D.I.: Artificial Intelligence and medical specialties: support or substitution? Medicine and Pharmacy Reports. 97, 409–418 (2024). https://doi.org/10.15386/mpr-2696.</w:t>
      </w:r>
    </w:p>
    <w:p w14:paraId="309B0B8B" w14:textId="11A17CB0" w:rsidR="009E2719" w:rsidRPr="00B54973" w:rsidRDefault="009E2719" w:rsidP="009E2719">
      <w:pPr>
        <w:pStyle w:val="referenceitem"/>
        <w:rPr>
          <w:lang w:eastAsia="zh-CN"/>
        </w:rPr>
      </w:pPr>
      <w:proofErr w:type="spellStart"/>
      <w:r w:rsidRPr="00B54973">
        <w:rPr>
          <w:lang w:eastAsia="zh-CN"/>
        </w:rPr>
        <w:lastRenderedPageBreak/>
        <w:t>Shneiderman</w:t>
      </w:r>
      <w:proofErr w:type="spellEnd"/>
      <w:r w:rsidRPr="00B54973">
        <w:rPr>
          <w:lang w:eastAsia="zh-CN"/>
        </w:rPr>
        <w:t>, B.: Human-centered artificial intelligence: Reliable, safe &amp; trustworthy. International Journal of Human–Computer Interaction. 36, 495–504 (2020).</w:t>
      </w:r>
    </w:p>
    <w:p w14:paraId="47169C40" w14:textId="7B392C39" w:rsidR="009E2719" w:rsidRPr="00B54973" w:rsidRDefault="009E2719" w:rsidP="009E2719">
      <w:pPr>
        <w:pStyle w:val="referenceitem"/>
        <w:rPr>
          <w:lang w:eastAsia="zh-CN"/>
        </w:rPr>
      </w:pPr>
      <w:r w:rsidRPr="00B54973">
        <w:rPr>
          <w:lang w:eastAsia="zh-CN"/>
        </w:rPr>
        <w:t xml:space="preserve">Sowa, K., </w:t>
      </w:r>
      <w:proofErr w:type="spellStart"/>
      <w:r w:rsidRPr="00B54973">
        <w:rPr>
          <w:lang w:eastAsia="zh-CN"/>
        </w:rPr>
        <w:t>Przegalinska</w:t>
      </w:r>
      <w:proofErr w:type="spellEnd"/>
      <w:r w:rsidRPr="00B54973">
        <w:rPr>
          <w:lang w:eastAsia="zh-CN"/>
        </w:rPr>
        <w:t xml:space="preserve">, A., </w:t>
      </w:r>
      <w:proofErr w:type="spellStart"/>
      <w:r w:rsidRPr="00B54973">
        <w:rPr>
          <w:lang w:eastAsia="zh-CN"/>
        </w:rPr>
        <w:t>Ciechanowski</w:t>
      </w:r>
      <w:proofErr w:type="spellEnd"/>
      <w:r w:rsidRPr="00B54973">
        <w:rPr>
          <w:lang w:eastAsia="zh-CN"/>
        </w:rPr>
        <w:t xml:space="preserve">, L.: </w:t>
      </w:r>
      <w:proofErr w:type="spellStart"/>
      <w:r w:rsidRPr="00B54973">
        <w:rPr>
          <w:lang w:eastAsia="zh-CN"/>
        </w:rPr>
        <w:t>Cobots</w:t>
      </w:r>
      <w:proofErr w:type="spellEnd"/>
      <w:r w:rsidRPr="00B54973">
        <w:rPr>
          <w:lang w:eastAsia="zh-CN"/>
        </w:rPr>
        <w:t xml:space="preserve"> in knowledge work: Human–AI collaboration in managerial professions. Journal of Business Research. 125, 135–142 (2021).</w:t>
      </w:r>
    </w:p>
    <w:p w14:paraId="49752B66" w14:textId="5B628110" w:rsidR="009E2719" w:rsidRPr="00B54973" w:rsidRDefault="009E2719" w:rsidP="009E2719">
      <w:pPr>
        <w:pStyle w:val="referenceitem"/>
        <w:rPr>
          <w:lang w:eastAsia="zh-CN"/>
        </w:rPr>
      </w:pPr>
      <w:r w:rsidRPr="00B54973">
        <w:rPr>
          <w:lang w:eastAsia="zh-CN"/>
        </w:rPr>
        <w:t>Sutton, R.S.: Reinforcement learning: An introduction. A Bradford Book. (2018).</w:t>
      </w:r>
    </w:p>
    <w:p w14:paraId="2F0ED454" w14:textId="6CFE347A" w:rsidR="009E2719" w:rsidRPr="00B54973" w:rsidRDefault="009E2719" w:rsidP="009E2719">
      <w:pPr>
        <w:pStyle w:val="referenceitem"/>
        <w:rPr>
          <w:lang w:eastAsia="zh-CN"/>
        </w:rPr>
      </w:pPr>
      <w:proofErr w:type="spellStart"/>
      <w:r w:rsidRPr="00B54973">
        <w:rPr>
          <w:lang w:eastAsia="zh-CN"/>
        </w:rPr>
        <w:t>Tomasello</w:t>
      </w:r>
      <w:proofErr w:type="spellEnd"/>
      <w:r w:rsidRPr="00B54973">
        <w:rPr>
          <w:lang w:eastAsia="zh-CN"/>
        </w:rPr>
        <w:t>, M.: A natural history of human thinking. Harvard University Press (2014).</w:t>
      </w:r>
    </w:p>
    <w:p w14:paraId="66F4600C" w14:textId="6F301B36" w:rsidR="009E2719" w:rsidRPr="00B54973" w:rsidRDefault="009E2719" w:rsidP="009E2719">
      <w:pPr>
        <w:pStyle w:val="referenceitem"/>
        <w:rPr>
          <w:lang w:eastAsia="zh-CN"/>
        </w:rPr>
      </w:pPr>
      <w:proofErr w:type="spellStart"/>
      <w:r w:rsidRPr="00B54973">
        <w:rPr>
          <w:lang w:eastAsia="zh-CN"/>
        </w:rPr>
        <w:t>Tomašev</w:t>
      </w:r>
      <w:proofErr w:type="spellEnd"/>
      <w:r w:rsidRPr="00B54973">
        <w:rPr>
          <w:lang w:eastAsia="zh-CN"/>
        </w:rPr>
        <w:t xml:space="preserve">, N., </w:t>
      </w:r>
      <w:proofErr w:type="spellStart"/>
      <w:r w:rsidRPr="00B54973">
        <w:rPr>
          <w:lang w:eastAsia="zh-CN"/>
        </w:rPr>
        <w:t>Cornebise</w:t>
      </w:r>
      <w:proofErr w:type="spellEnd"/>
      <w:r w:rsidRPr="00B54973">
        <w:rPr>
          <w:lang w:eastAsia="zh-CN"/>
        </w:rPr>
        <w:t xml:space="preserve">, J., </w:t>
      </w:r>
      <w:proofErr w:type="spellStart"/>
      <w:r w:rsidRPr="00B54973">
        <w:rPr>
          <w:lang w:eastAsia="zh-CN"/>
        </w:rPr>
        <w:t>Hutter</w:t>
      </w:r>
      <w:proofErr w:type="spellEnd"/>
      <w:r w:rsidRPr="00B54973">
        <w:rPr>
          <w:lang w:eastAsia="zh-CN"/>
        </w:rPr>
        <w:t xml:space="preserve">, F., Mohamed, S., </w:t>
      </w:r>
      <w:proofErr w:type="spellStart"/>
      <w:r w:rsidRPr="00B54973">
        <w:rPr>
          <w:lang w:eastAsia="zh-CN"/>
        </w:rPr>
        <w:t>Picciariello</w:t>
      </w:r>
      <w:proofErr w:type="spellEnd"/>
      <w:r w:rsidRPr="00B54973">
        <w:rPr>
          <w:lang w:eastAsia="zh-CN"/>
        </w:rPr>
        <w:t xml:space="preserve">, A., Connelly, B., Belgrave, D.C.M., </w:t>
      </w:r>
      <w:proofErr w:type="spellStart"/>
      <w:r w:rsidRPr="00B54973">
        <w:rPr>
          <w:lang w:eastAsia="zh-CN"/>
        </w:rPr>
        <w:t>Ezer</w:t>
      </w:r>
      <w:proofErr w:type="spellEnd"/>
      <w:r w:rsidRPr="00B54973">
        <w:rPr>
          <w:lang w:eastAsia="zh-CN"/>
        </w:rPr>
        <w:t xml:space="preserve">, D., </w:t>
      </w:r>
      <w:proofErr w:type="spellStart"/>
      <w:r w:rsidRPr="00B54973">
        <w:rPr>
          <w:lang w:eastAsia="zh-CN"/>
        </w:rPr>
        <w:t>Haert</w:t>
      </w:r>
      <w:proofErr w:type="spellEnd"/>
      <w:r w:rsidRPr="00B54973">
        <w:rPr>
          <w:lang w:eastAsia="zh-CN"/>
        </w:rPr>
        <w:t xml:space="preserve">, F.C.V.D., Mugisha, F., Abila, G., Arai, H., </w:t>
      </w:r>
      <w:proofErr w:type="spellStart"/>
      <w:r w:rsidRPr="00B54973">
        <w:rPr>
          <w:lang w:eastAsia="zh-CN"/>
        </w:rPr>
        <w:t>Almiraat</w:t>
      </w:r>
      <w:proofErr w:type="spellEnd"/>
      <w:r w:rsidRPr="00B54973">
        <w:rPr>
          <w:lang w:eastAsia="zh-CN"/>
        </w:rPr>
        <w:t xml:space="preserve">, H., </w:t>
      </w:r>
      <w:proofErr w:type="spellStart"/>
      <w:r w:rsidRPr="00B54973">
        <w:rPr>
          <w:lang w:eastAsia="zh-CN"/>
        </w:rPr>
        <w:t>Proskurnia</w:t>
      </w:r>
      <w:proofErr w:type="spellEnd"/>
      <w:r w:rsidRPr="00B54973">
        <w:rPr>
          <w:lang w:eastAsia="zh-CN"/>
        </w:rPr>
        <w:t xml:space="preserve">, J., Snyder, K., </w:t>
      </w:r>
      <w:proofErr w:type="spellStart"/>
      <w:r w:rsidRPr="00B54973">
        <w:rPr>
          <w:lang w:eastAsia="zh-CN"/>
        </w:rPr>
        <w:t>Otake</w:t>
      </w:r>
      <w:proofErr w:type="spellEnd"/>
      <w:r w:rsidRPr="00B54973">
        <w:rPr>
          <w:lang w:eastAsia="zh-CN"/>
        </w:rPr>
        <w:t xml:space="preserve">-Matsuura, M., Othman, M., </w:t>
      </w:r>
      <w:proofErr w:type="spellStart"/>
      <w:r w:rsidRPr="00B54973">
        <w:rPr>
          <w:lang w:eastAsia="zh-CN"/>
        </w:rPr>
        <w:t>Glasmachers</w:t>
      </w:r>
      <w:proofErr w:type="spellEnd"/>
      <w:r w:rsidRPr="00B54973">
        <w:rPr>
          <w:lang w:eastAsia="zh-CN"/>
        </w:rPr>
        <w:t xml:space="preserve">, T., </w:t>
      </w:r>
      <w:proofErr w:type="spellStart"/>
      <w:r w:rsidRPr="00B54973">
        <w:rPr>
          <w:lang w:eastAsia="zh-CN"/>
        </w:rPr>
        <w:t>Wever</w:t>
      </w:r>
      <w:proofErr w:type="spellEnd"/>
      <w:r w:rsidRPr="00B54973">
        <w:rPr>
          <w:lang w:eastAsia="zh-CN"/>
        </w:rPr>
        <w:t xml:space="preserve">, W.D., </w:t>
      </w:r>
      <w:proofErr w:type="spellStart"/>
      <w:r w:rsidRPr="00B54973">
        <w:rPr>
          <w:lang w:eastAsia="zh-CN"/>
        </w:rPr>
        <w:t>Teh</w:t>
      </w:r>
      <w:proofErr w:type="spellEnd"/>
      <w:r w:rsidRPr="00B54973">
        <w:rPr>
          <w:lang w:eastAsia="zh-CN"/>
        </w:rPr>
        <w:t xml:space="preserve">, Y.W., Khan, M.E., Winne, R.D., </w:t>
      </w:r>
      <w:proofErr w:type="spellStart"/>
      <w:r w:rsidRPr="00B54973">
        <w:rPr>
          <w:lang w:eastAsia="zh-CN"/>
        </w:rPr>
        <w:t>Schaul</w:t>
      </w:r>
      <w:proofErr w:type="spellEnd"/>
      <w:r w:rsidRPr="00B54973">
        <w:rPr>
          <w:lang w:eastAsia="zh-CN"/>
        </w:rPr>
        <w:t xml:space="preserve">, T., </w:t>
      </w:r>
      <w:proofErr w:type="spellStart"/>
      <w:r w:rsidRPr="00B54973">
        <w:rPr>
          <w:lang w:eastAsia="zh-CN"/>
        </w:rPr>
        <w:t>Clopath</w:t>
      </w:r>
      <w:proofErr w:type="spellEnd"/>
      <w:r w:rsidRPr="00B54973">
        <w:rPr>
          <w:lang w:eastAsia="zh-CN"/>
        </w:rPr>
        <w:t xml:space="preserve">, C.: AI for social good: unlocking the opportunity for positive impact. Nat </w:t>
      </w:r>
      <w:proofErr w:type="spellStart"/>
      <w:r w:rsidRPr="00B54973">
        <w:rPr>
          <w:lang w:eastAsia="zh-CN"/>
        </w:rPr>
        <w:t>Commun</w:t>
      </w:r>
      <w:proofErr w:type="spellEnd"/>
      <w:r w:rsidRPr="00B54973">
        <w:rPr>
          <w:lang w:eastAsia="zh-CN"/>
        </w:rPr>
        <w:t>. 11, 2468 (2020). https://doi.org/10.1038/s41467-020-15871-z.</w:t>
      </w:r>
    </w:p>
    <w:p w14:paraId="48159BC7" w14:textId="2390E03A" w:rsidR="009E2719" w:rsidRPr="00B54973" w:rsidRDefault="009E2719" w:rsidP="009E2719">
      <w:pPr>
        <w:pStyle w:val="referenceitem"/>
        <w:rPr>
          <w:lang w:eastAsia="zh-CN"/>
        </w:rPr>
      </w:pPr>
      <w:proofErr w:type="spellStart"/>
      <w:r w:rsidRPr="00B54973">
        <w:rPr>
          <w:lang w:eastAsia="zh-CN"/>
        </w:rPr>
        <w:t>Vapnik</w:t>
      </w:r>
      <w:proofErr w:type="spellEnd"/>
      <w:r w:rsidRPr="00B54973">
        <w:rPr>
          <w:lang w:eastAsia="zh-CN"/>
        </w:rPr>
        <w:t>, V.: The nature of statistical learning theory. Springer science &amp; business media (2013).</w:t>
      </w:r>
    </w:p>
    <w:p w14:paraId="0005FEF5" w14:textId="07F6E36C" w:rsidR="009E2719" w:rsidRPr="00B54973" w:rsidRDefault="009E2719" w:rsidP="009E2719">
      <w:pPr>
        <w:pStyle w:val="referenceitem"/>
        <w:rPr>
          <w:lang w:eastAsia="zh-CN"/>
        </w:rPr>
      </w:pPr>
      <w:r w:rsidRPr="00B54973">
        <w:rPr>
          <w:lang w:eastAsia="zh-CN"/>
        </w:rPr>
        <w:t xml:space="preserve">Virgilio, G.P.M., </w:t>
      </w:r>
      <w:proofErr w:type="spellStart"/>
      <w:r w:rsidRPr="00B54973">
        <w:rPr>
          <w:lang w:eastAsia="zh-CN"/>
        </w:rPr>
        <w:t>Hoyos</w:t>
      </w:r>
      <w:proofErr w:type="spellEnd"/>
      <w:r w:rsidRPr="00B54973">
        <w:rPr>
          <w:lang w:eastAsia="zh-CN"/>
        </w:rPr>
        <w:t xml:space="preserve">, F.S., </w:t>
      </w:r>
      <w:proofErr w:type="spellStart"/>
      <w:r w:rsidRPr="00B54973">
        <w:rPr>
          <w:lang w:eastAsia="zh-CN"/>
        </w:rPr>
        <w:t>Ratzemberg</w:t>
      </w:r>
      <w:proofErr w:type="spellEnd"/>
      <w:r w:rsidRPr="00B54973">
        <w:rPr>
          <w:lang w:eastAsia="zh-CN"/>
        </w:rPr>
        <w:t>, C.B.B.: The impact of artificial intelligence on unemployment: a review. International Journal of Social Economics. 51, 1680–1695 (2024). https://doi.org/10.1108/IJSE-05-2023-0338.</w:t>
      </w:r>
    </w:p>
    <w:p w14:paraId="0112B26F" w14:textId="257F4B40" w:rsidR="009E2719" w:rsidRPr="00B54973" w:rsidRDefault="009E2719" w:rsidP="009E2719">
      <w:pPr>
        <w:pStyle w:val="referenceitem"/>
        <w:rPr>
          <w:lang w:eastAsia="zh-CN"/>
        </w:rPr>
      </w:pPr>
      <w:r w:rsidRPr="00B54973">
        <w:rPr>
          <w:lang w:eastAsia="zh-CN"/>
        </w:rPr>
        <w:t>Vygotsky, L.S.: Mind in society: The development of higher psychological processes. Harvard university press (1978).</w:t>
      </w:r>
    </w:p>
    <w:p w14:paraId="4553ECFF" w14:textId="1F76A5C0" w:rsidR="009E2719" w:rsidRPr="00B54973" w:rsidRDefault="009E2719" w:rsidP="009E2719">
      <w:pPr>
        <w:pStyle w:val="referenceitem"/>
        <w:rPr>
          <w:lang w:eastAsia="zh-CN"/>
        </w:rPr>
      </w:pPr>
      <w:r w:rsidRPr="00B54973">
        <w:rPr>
          <w:lang w:eastAsia="zh-CN"/>
        </w:rPr>
        <w:t>Wang, D., Zheng, K., Li, C., Guo, J.: Proceedings of the Association for Information Science and Technology | ASIS&amp;T Journal | Wiley Online Library. https://doi.org/10.1002/pra2.1078.</w:t>
      </w:r>
    </w:p>
    <w:p w14:paraId="3FB7BB43" w14:textId="25C185E0" w:rsidR="009E2719" w:rsidRPr="00B54973" w:rsidRDefault="009E2719" w:rsidP="009E2719">
      <w:pPr>
        <w:pStyle w:val="referenceitem"/>
        <w:rPr>
          <w:lang w:eastAsia="zh-CN"/>
        </w:rPr>
      </w:pPr>
      <w:r w:rsidRPr="00B54973">
        <w:rPr>
          <w:lang w:eastAsia="zh-CN"/>
        </w:rPr>
        <w:t>Wang, W., Gao, G. (Gordon), Agarwal, R.: Friend or Foe? Teaming Between Artificial Intelligence and Workers with Variation in Experience. Management Science. (2023). https://doi.org/10.1287/mnsc.2021.00588.</w:t>
      </w:r>
    </w:p>
    <w:p w14:paraId="0697C03A" w14:textId="0C39B506" w:rsidR="009E2719" w:rsidRPr="00B54973" w:rsidRDefault="009E2719" w:rsidP="009E2719">
      <w:pPr>
        <w:pStyle w:val="referenceitem"/>
        <w:rPr>
          <w:lang w:eastAsia="zh-CN"/>
        </w:rPr>
      </w:pPr>
      <w:r w:rsidRPr="00B54973">
        <w:rPr>
          <w:lang w:eastAsia="zh-CN"/>
        </w:rPr>
        <w:t xml:space="preserve">Westphal, M., </w:t>
      </w:r>
      <w:proofErr w:type="spellStart"/>
      <w:r w:rsidRPr="00B54973">
        <w:rPr>
          <w:lang w:eastAsia="zh-CN"/>
        </w:rPr>
        <w:t>Bonanno</w:t>
      </w:r>
      <w:proofErr w:type="spellEnd"/>
      <w:r w:rsidRPr="00B54973">
        <w:rPr>
          <w:lang w:eastAsia="zh-CN"/>
        </w:rPr>
        <w:t>, G.A.: Emotion self-regulation. In: Consciousness, emotional self-regulation and the brain. pp. 1–34. John Benjamins Publishing Company (2006).</w:t>
      </w:r>
    </w:p>
    <w:p w14:paraId="06B61E1B" w14:textId="34BF398E" w:rsidR="009E2719" w:rsidRPr="00B54973" w:rsidRDefault="009E2719" w:rsidP="009E2719">
      <w:pPr>
        <w:pStyle w:val="referenceitem"/>
        <w:rPr>
          <w:lang w:eastAsia="zh-CN"/>
        </w:rPr>
      </w:pPr>
      <w:r w:rsidRPr="00B54973">
        <w:rPr>
          <w:lang w:eastAsia="zh-CN"/>
        </w:rPr>
        <w:t>Whetten, D.A.: What constitutes a theoretical contribution? Academy of management review. 14, 490–495 (1989).</w:t>
      </w:r>
    </w:p>
    <w:p w14:paraId="13ADABA8" w14:textId="270FCD36" w:rsidR="009E2719" w:rsidRPr="00B54973" w:rsidRDefault="009E2719" w:rsidP="009E2719">
      <w:pPr>
        <w:pStyle w:val="referenceitem"/>
        <w:rPr>
          <w:lang w:eastAsia="zh-CN"/>
        </w:rPr>
      </w:pPr>
      <w:r w:rsidRPr="00B54973">
        <w:rPr>
          <w:lang w:eastAsia="zh-CN"/>
        </w:rPr>
        <w:t>Xu, W.: Toward human-centered AI: a perspective from human-computer interaction. interactions. 26, 42–46 (2019). https://doi.org/10.1145/3328485.</w:t>
      </w:r>
    </w:p>
    <w:p w14:paraId="089F0834" w14:textId="2440552E" w:rsidR="009E2719" w:rsidRPr="00B54973" w:rsidRDefault="009E2719" w:rsidP="009E2719">
      <w:pPr>
        <w:pStyle w:val="referenceitem"/>
        <w:rPr>
          <w:lang w:eastAsia="zh-CN"/>
        </w:rPr>
      </w:pPr>
      <w:r w:rsidRPr="00B54973">
        <w:rPr>
          <w:lang w:eastAsia="zh-CN"/>
        </w:rPr>
        <w:t xml:space="preserve">Yan, L., </w:t>
      </w:r>
      <w:proofErr w:type="spellStart"/>
      <w:r w:rsidRPr="00B54973">
        <w:rPr>
          <w:lang w:eastAsia="zh-CN"/>
        </w:rPr>
        <w:t>Greiff</w:t>
      </w:r>
      <w:proofErr w:type="spellEnd"/>
      <w:r w:rsidRPr="00B54973">
        <w:rPr>
          <w:lang w:eastAsia="zh-CN"/>
        </w:rPr>
        <w:t xml:space="preserve">, S., </w:t>
      </w:r>
      <w:proofErr w:type="spellStart"/>
      <w:r w:rsidRPr="00B54973">
        <w:rPr>
          <w:lang w:eastAsia="zh-CN"/>
        </w:rPr>
        <w:t>Teuber</w:t>
      </w:r>
      <w:proofErr w:type="spellEnd"/>
      <w:r w:rsidRPr="00B54973">
        <w:rPr>
          <w:lang w:eastAsia="zh-CN"/>
        </w:rPr>
        <w:t xml:space="preserve">, Z., </w:t>
      </w:r>
      <w:proofErr w:type="spellStart"/>
      <w:r w:rsidRPr="00B54973">
        <w:rPr>
          <w:lang w:eastAsia="zh-CN"/>
        </w:rPr>
        <w:t>Gašević</w:t>
      </w:r>
      <w:proofErr w:type="spellEnd"/>
      <w:r w:rsidRPr="00B54973">
        <w:rPr>
          <w:lang w:eastAsia="zh-CN"/>
        </w:rPr>
        <w:t xml:space="preserve">, D.: Promises and challenges of generative artificial intelligence for human learning. Nat Hum </w:t>
      </w:r>
      <w:proofErr w:type="spellStart"/>
      <w:r w:rsidRPr="00B54973">
        <w:rPr>
          <w:lang w:eastAsia="zh-CN"/>
        </w:rPr>
        <w:t>Behav</w:t>
      </w:r>
      <w:proofErr w:type="spellEnd"/>
      <w:r w:rsidRPr="00B54973">
        <w:rPr>
          <w:lang w:eastAsia="zh-CN"/>
        </w:rPr>
        <w:t>. 8, 1839–1850 (2024). https://doi.org/10.1038/s41562-024-02004-5.</w:t>
      </w:r>
    </w:p>
    <w:p w14:paraId="580A60E5" w14:textId="531080E7" w:rsidR="009E2719" w:rsidRPr="00B54973" w:rsidRDefault="009E2719" w:rsidP="009E2719">
      <w:pPr>
        <w:pStyle w:val="referenceitem"/>
        <w:rPr>
          <w:lang w:eastAsia="zh-CN"/>
        </w:rPr>
      </w:pPr>
      <w:r w:rsidRPr="00B54973">
        <w:rPr>
          <w:lang w:eastAsia="zh-CN"/>
        </w:rPr>
        <w:t>Yin, M., Jiang, S., Niu, X.: Can AI really help? The double-edged sword effect of AI assistant on employees’ innovation behavior. Computers in Human Behavior. 150, 107987 (2024). https://doi.org/10.1016/j.chb.2023.107987.</w:t>
      </w:r>
    </w:p>
    <w:p w14:paraId="21341F43" w14:textId="7060BE4C" w:rsidR="009E2719" w:rsidRPr="00B54973" w:rsidRDefault="009E2719" w:rsidP="009E2719">
      <w:pPr>
        <w:pStyle w:val="referenceitem"/>
        <w:rPr>
          <w:lang w:eastAsia="zh-CN"/>
        </w:rPr>
      </w:pPr>
      <w:r w:rsidRPr="00B54973">
        <w:rPr>
          <w:lang w:eastAsia="zh-CN"/>
        </w:rPr>
        <w:t xml:space="preserve">Zhang, X., Wei, X., </w:t>
      </w:r>
      <w:proofErr w:type="spellStart"/>
      <w:r w:rsidRPr="00B54973">
        <w:rPr>
          <w:lang w:eastAsia="zh-CN"/>
        </w:rPr>
        <w:t>Ou</w:t>
      </w:r>
      <w:proofErr w:type="spellEnd"/>
      <w:r w:rsidRPr="00B54973">
        <w:rPr>
          <w:lang w:eastAsia="zh-CN"/>
        </w:rPr>
        <w:t xml:space="preserve">, C.X., Caron, E., Zhu, H., </w:t>
      </w:r>
      <w:proofErr w:type="spellStart"/>
      <w:r w:rsidRPr="00B54973">
        <w:rPr>
          <w:lang w:eastAsia="zh-CN"/>
        </w:rPr>
        <w:t>Xiong</w:t>
      </w:r>
      <w:proofErr w:type="spellEnd"/>
      <w:r w:rsidRPr="00B54973">
        <w:rPr>
          <w:lang w:eastAsia="zh-CN"/>
        </w:rPr>
        <w:t>, H.: From human-AI confrontation to human-AI symbiosis in society 5.0: Transformation challenges and mechanisms. IT Professional. 24, 43–51 (2022).</w:t>
      </w:r>
    </w:p>
    <w:p w14:paraId="67A020A8" w14:textId="4A715E6C" w:rsidR="009E2719" w:rsidRPr="00B54973" w:rsidRDefault="009E2719" w:rsidP="009E2719">
      <w:pPr>
        <w:pStyle w:val="referenceitem"/>
        <w:rPr>
          <w:lang w:eastAsia="zh-CN"/>
        </w:rPr>
      </w:pPr>
      <w:r w:rsidRPr="00B54973">
        <w:rPr>
          <w:lang w:eastAsia="zh-CN"/>
        </w:rPr>
        <w:t xml:space="preserve">Zheng, C., Yuan, K., Guo, B., </w:t>
      </w:r>
      <w:proofErr w:type="spellStart"/>
      <w:r w:rsidRPr="00B54973">
        <w:rPr>
          <w:lang w:eastAsia="zh-CN"/>
        </w:rPr>
        <w:t>Hadi</w:t>
      </w:r>
      <w:proofErr w:type="spellEnd"/>
      <w:r w:rsidRPr="00B54973">
        <w:rPr>
          <w:lang w:eastAsia="zh-CN"/>
        </w:rPr>
        <w:t xml:space="preserve"> </w:t>
      </w:r>
      <w:proofErr w:type="spellStart"/>
      <w:r w:rsidRPr="00B54973">
        <w:rPr>
          <w:lang w:eastAsia="zh-CN"/>
        </w:rPr>
        <w:t>Mogavi</w:t>
      </w:r>
      <w:proofErr w:type="spellEnd"/>
      <w:r w:rsidRPr="00B54973">
        <w:rPr>
          <w:lang w:eastAsia="zh-CN"/>
        </w:rPr>
        <w:t>, R., Peng, Z., Ma, S., Ma, X.: Charting the Future of AI in Project-Based Learning: A Co-Design Exploration with Students. In: Proceedings of the CHI Conference on Human Factors in Computing Systems. pp. 1–19. ACM, Honolulu HI USA (2024). https://doi.org/10.1145/3613904.3642807.</w:t>
      </w:r>
    </w:p>
    <w:p w14:paraId="0511CCA3" w14:textId="7A4035F7" w:rsidR="009E2719" w:rsidRPr="00B54973" w:rsidRDefault="009E2719" w:rsidP="009E2719">
      <w:pPr>
        <w:pStyle w:val="referenceitem"/>
        <w:rPr>
          <w:lang w:eastAsia="zh-CN"/>
        </w:rPr>
      </w:pPr>
      <w:r w:rsidRPr="00B54973">
        <w:rPr>
          <w:lang w:eastAsia="zh-CN"/>
        </w:rPr>
        <w:t>Zimmerman, B.J.: A social cognitive view of self-regulated academic learning. Journal of educational psychology. 81, 329 (1989).</w:t>
      </w:r>
    </w:p>
    <w:p w14:paraId="16E44982" w14:textId="0C6331AE" w:rsidR="009E2719" w:rsidRPr="00B54973" w:rsidRDefault="009E2719" w:rsidP="009E2719">
      <w:pPr>
        <w:pStyle w:val="referenceitem"/>
        <w:rPr>
          <w:lang w:eastAsia="zh-CN"/>
        </w:rPr>
      </w:pPr>
      <w:r w:rsidRPr="00B54973">
        <w:rPr>
          <w:lang w:eastAsia="zh-CN"/>
        </w:rPr>
        <w:t>Zimmerman, B.J.: Self-efficacy and educational development. Self-efficacy in changing societies. 1, 202–231 (1995).</w:t>
      </w:r>
    </w:p>
    <w:p w14:paraId="3B51B69D" w14:textId="547597E2" w:rsidR="00DC71CD" w:rsidRPr="00B54973" w:rsidRDefault="009E2719" w:rsidP="009E2719">
      <w:pPr>
        <w:pStyle w:val="referenceitem"/>
        <w:rPr>
          <w:lang w:eastAsia="zh-CN"/>
        </w:rPr>
      </w:pPr>
      <w:r w:rsidRPr="00B54973">
        <w:rPr>
          <w:lang w:eastAsia="zh-CN"/>
        </w:rPr>
        <w:lastRenderedPageBreak/>
        <w:t>Zimmerman, B.: Attaining self-regulation: A social cognitive perspective. Self-regulation: Theory, research, and applications/Academic. (2000).</w:t>
      </w:r>
    </w:p>
    <w:sectPr w:rsidR="00DC71CD" w:rsidRPr="00B54973" w:rsidSect="00DC71CD">
      <w:headerReference w:type="even" r:id="rId13"/>
      <w:headerReference w:type="default" r:id="rId14"/>
      <w:pgSz w:w="11906" w:h="16838" w:code="9"/>
      <w:pgMar w:top="2948" w:right="2494" w:bottom="2948" w:left="2494" w:header="2381" w:footer="2324" w:gutter="0"/>
      <w:cols w:space="227"/>
      <w:titlePg/>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37C5" w14:textId="77777777" w:rsidR="00785537" w:rsidRDefault="00785537">
      <w:pPr>
        <w:spacing w:line="240" w:lineRule="auto"/>
      </w:pPr>
      <w:r>
        <w:separator/>
      </w:r>
    </w:p>
  </w:endnote>
  <w:endnote w:type="continuationSeparator" w:id="0">
    <w:p w14:paraId="03A91DA7" w14:textId="77777777" w:rsidR="00785537" w:rsidRDefault="007855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4E5E0" w14:textId="77777777" w:rsidR="00785537" w:rsidRDefault="00785537" w:rsidP="00080DE2">
      <w:pPr>
        <w:spacing w:line="240" w:lineRule="auto"/>
        <w:ind w:firstLine="0"/>
      </w:pPr>
      <w:r>
        <w:separator/>
      </w:r>
    </w:p>
  </w:footnote>
  <w:footnote w:type="continuationSeparator" w:id="0">
    <w:p w14:paraId="51D15720" w14:textId="77777777" w:rsidR="00785537" w:rsidRPr="00080DE2" w:rsidRDefault="00785537" w:rsidP="00080DE2">
      <w:pPr>
        <w:spacing w:line="240" w:lineRule="auto"/>
        <w:ind w:firstLine="0"/>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7BF9C" w14:textId="77777777" w:rsidR="00701982" w:rsidRDefault="00000000" w:rsidP="001012B2">
    <w:pPr>
      <w:ind w:firstLine="0"/>
    </w:pPr>
    <w:r>
      <w:fldChar w:fldCharType="begin"/>
    </w:r>
    <w:r>
      <w:instrText>PAGE   \* MERGEFORMAT</w:instrText>
    </w:r>
    <w:r>
      <w:fldChar w:fldCharType="separate"/>
    </w:r>
    <w:r w:rsidRPr="00F435E6">
      <w:rPr>
        <w:noProof/>
        <w:lang w:val="de-DE"/>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A3FB6" w14:textId="20D2AD34" w:rsidR="00451D8E" w:rsidRDefault="00000000" w:rsidP="00451D8E">
    <w:pPr>
      <w:jc w:val="right"/>
    </w:pPr>
    <w:r>
      <w:fldChar w:fldCharType="begin"/>
    </w:r>
    <w:r>
      <w:instrText>PAGE   \* MERGEFORMAT</w:instrText>
    </w:r>
    <w:r>
      <w:fldChar w:fldCharType="separate"/>
    </w:r>
    <w:r w:rsidRPr="003803D8">
      <w:rPr>
        <w:noProof/>
        <w:lang w:val="de-DE"/>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97F84"/>
    <w:multiLevelType w:val="multilevel"/>
    <w:tmpl w:val="5C905BB0"/>
    <w:styleLink w:val="itemization1"/>
    <w:lvl w:ilvl="0">
      <w:start w:val="1"/>
      <w:numFmt w:val="bullet"/>
      <w:pStyle w:val="bulletitem"/>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1" w15:restartNumberingAfterBreak="0">
    <w:nsid w:val="6F404C9F"/>
    <w:multiLevelType w:val="multilevel"/>
    <w:tmpl w:val="43044956"/>
    <w:styleLink w:val="itemization2"/>
    <w:lvl w:ilvl="0">
      <w:start w:val="1"/>
      <w:numFmt w:val="bullet"/>
      <w:pStyle w:val="dashitem"/>
      <w:lvlText w:val="─"/>
      <w:lvlJc w:val="left"/>
      <w:pPr>
        <w:tabs>
          <w:tab w:val="num" w:pos="227"/>
        </w:tabs>
        <w:ind w:left="227" w:hanging="227"/>
      </w:pPr>
      <w:rPr>
        <w:rFonts w:ascii="Times New Roman" w:hAnsi="Times New Roman" w:cs="Times New Roman"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bullet"/>
      <w:lvlText w:val="■"/>
      <w:lvlJc w:val="left"/>
      <w:pPr>
        <w:tabs>
          <w:tab w:val="num" w:pos="907"/>
        </w:tabs>
        <w:ind w:left="907" w:hanging="227"/>
      </w:pPr>
      <w:rPr>
        <w:rFonts w:ascii="Times New Roman" w:hAnsi="Times New Roman" w:cs="Times New Roman" w:hint="default"/>
      </w:rPr>
    </w:lvl>
    <w:lvl w:ilvl="4">
      <w:start w:val="1"/>
      <w:numFmt w:val="bullet"/>
      <w:lvlText w:val="○"/>
      <w:lvlJc w:val="left"/>
      <w:pPr>
        <w:tabs>
          <w:tab w:val="num" w:pos="1134"/>
        </w:tabs>
        <w:ind w:left="1134" w:hanging="227"/>
      </w:pPr>
      <w:rPr>
        <w:rFonts w:ascii="Times New Roman" w:hAnsi="Times New Roman" w:cs="Times New Roman" w:hint="default"/>
      </w:rPr>
    </w:lvl>
    <w:lvl w:ilvl="5">
      <w:start w:val="1"/>
      <w:numFmt w:val="bullet"/>
      <w:lvlText w:val="■"/>
      <w:lvlJc w:val="left"/>
      <w:pPr>
        <w:tabs>
          <w:tab w:val="num" w:pos="1361"/>
        </w:tabs>
        <w:ind w:left="1361" w:hanging="227"/>
      </w:pPr>
      <w:rPr>
        <w:rFonts w:ascii="Times New Roman" w:hAnsi="Times New Roman" w:cs="Times New Roman"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Times New Roman" w:hAnsi="Times New Roman" w:cs="Times New Roman" w:hint="default"/>
      </w:rPr>
    </w:lvl>
    <w:lvl w:ilvl="8">
      <w:start w:val="1"/>
      <w:numFmt w:val="bullet"/>
      <w:lvlText w:val="■"/>
      <w:lvlJc w:val="left"/>
      <w:pPr>
        <w:tabs>
          <w:tab w:val="num" w:pos="2041"/>
        </w:tabs>
        <w:ind w:left="2041" w:hanging="227"/>
      </w:pPr>
      <w:rPr>
        <w:rFonts w:ascii="Times New Roman" w:hAnsi="Times New Roman" w:cs="Times New Roman" w:hint="default"/>
      </w:rPr>
    </w:lvl>
  </w:abstractNum>
  <w:abstractNum w:abstractNumId="2" w15:restartNumberingAfterBreak="0">
    <w:nsid w:val="7738779A"/>
    <w:multiLevelType w:val="multilevel"/>
    <w:tmpl w:val="301644EC"/>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B274BC8"/>
    <w:multiLevelType w:val="multilevel"/>
    <w:tmpl w:val="93CEBA6C"/>
    <w:styleLink w:val="arabnumitem"/>
    <w:lvl w:ilvl="0">
      <w:start w:val="1"/>
      <w:numFmt w:val="decimal"/>
      <w:lvlRestart w:val="0"/>
      <w:pStyle w:val="numitem"/>
      <w:lvlText w:val="%1."/>
      <w:lvlJc w:val="right"/>
      <w:pPr>
        <w:tabs>
          <w:tab w:val="num" w:pos="0"/>
        </w:tabs>
        <w:ind w:left="227" w:hanging="57"/>
      </w:pPr>
      <w:rPr>
        <w:rFonts w:hint="default"/>
      </w:rPr>
    </w:lvl>
    <w:lvl w:ilvl="1">
      <w:start w:val="1"/>
      <w:numFmt w:val="lowerLetter"/>
      <w:lvlText w:val="%2."/>
      <w:lvlJc w:val="left"/>
      <w:pPr>
        <w:tabs>
          <w:tab w:val="num" w:pos="227"/>
        </w:tabs>
        <w:ind w:left="454" w:hanging="227"/>
      </w:pPr>
      <w:rPr>
        <w:rFonts w:hint="default"/>
      </w:rPr>
    </w:lvl>
    <w:lvl w:ilvl="2">
      <w:start w:val="1"/>
      <w:numFmt w:val="decimal"/>
      <w:lvlText w:val="(%3)"/>
      <w:lvlJc w:val="left"/>
      <w:pPr>
        <w:tabs>
          <w:tab w:val="num" w:pos="454"/>
        </w:tabs>
        <w:ind w:left="794" w:hanging="340"/>
      </w:pPr>
      <w:rPr>
        <w:rFonts w:hint="default"/>
      </w:rPr>
    </w:lvl>
    <w:lvl w:ilvl="3">
      <w:start w:val="1"/>
      <w:numFmt w:val="lowerRoman"/>
      <w:lvlText w:val="%4."/>
      <w:lvlJc w:val="left"/>
      <w:pPr>
        <w:tabs>
          <w:tab w:val="num" w:pos="794"/>
        </w:tabs>
        <w:ind w:left="1077" w:hanging="283"/>
      </w:pPr>
      <w:rPr>
        <w:rFonts w:hint="default"/>
      </w:rPr>
    </w:lvl>
    <w:lvl w:ilvl="4">
      <w:start w:val="1"/>
      <w:numFmt w:val="lowerLetter"/>
      <w:lvlText w:val="(%5)"/>
      <w:lvlJc w:val="left"/>
      <w:pPr>
        <w:tabs>
          <w:tab w:val="num" w:pos="1077"/>
        </w:tabs>
        <w:ind w:left="1360" w:hanging="283"/>
      </w:pPr>
      <w:rPr>
        <w:rFonts w:hint="default"/>
      </w:rPr>
    </w:lvl>
    <w:lvl w:ilvl="5">
      <w:start w:val="1"/>
      <w:numFmt w:val="upperLetter"/>
      <w:lvlText w:val="%6."/>
      <w:lvlJc w:val="left"/>
      <w:pPr>
        <w:tabs>
          <w:tab w:val="num" w:pos="1360"/>
        </w:tabs>
        <w:ind w:left="1700" w:hanging="340"/>
      </w:pPr>
      <w:rPr>
        <w:rFonts w:hint="default"/>
      </w:r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D9521C8"/>
    <w:multiLevelType w:val="multilevel"/>
    <w:tmpl w:val="B936F3FC"/>
    <w:styleLink w:val="referencelist"/>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num w:numId="1" w16cid:durableId="903754648">
    <w:abstractNumId w:val="0"/>
  </w:num>
  <w:num w:numId="2" w16cid:durableId="481427736">
    <w:abstractNumId w:val="0"/>
  </w:num>
  <w:num w:numId="3" w16cid:durableId="1095638310">
    <w:abstractNumId w:val="1"/>
  </w:num>
  <w:num w:numId="4" w16cid:durableId="87122478">
    <w:abstractNumId w:val="1"/>
  </w:num>
  <w:num w:numId="5" w16cid:durableId="105085794">
    <w:abstractNumId w:val="3"/>
  </w:num>
  <w:num w:numId="6" w16cid:durableId="512844062">
    <w:abstractNumId w:val="3"/>
  </w:num>
  <w:num w:numId="7" w16cid:durableId="1418819890">
    <w:abstractNumId w:val="2"/>
  </w:num>
  <w:num w:numId="8" w16cid:durableId="1017196466">
    <w:abstractNumId w:val="4"/>
  </w:num>
  <w:num w:numId="9" w16cid:durableId="197921939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bordersDoNotSurroundHeader/>
  <w:bordersDoNotSurroundFooter/>
  <w:proofState w:spelling="clean" w:grammar="clean"/>
  <w:defaultTabStop w:val="720"/>
  <w:autoHyphenation/>
  <w:hyphenationZone w:val="400"/>
  <w:doNotHyphenateCaps/>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E6F"/>
    <w:rsid w:val="00003091"/>
    <w:rsid w:val="000A250F"/>
    <w:rsid w:val="00111703"/>
    <w:rsid w:val="00130E81"/>
    <w:rsid w:val="00136025"/>
    <w:rsid w:val="001433CE"/>
    <w:rsid w:val="0020293A"/>
    <w:rsid w:val="00234EC0"/>
    <w:rsid w:val="00273FDA"/>
    <w:rsid w:val="00284A77"/>
    <w:rsid w:val="002A633F"/>
    <w:rsid w:val="002C648B"/>
    <w:rsid w:val="003102E2"/>
    <w:rsid w:val="00310BC0"/>
    <w:rsid w:val="00313E58"/>
    <w:rsid w:val="00323467"/>
    <w:rsid w:val="003447D9"/>
    <w:rsid w:val="003B6A74"/>
    <w:rsid w:val="003C7A61"/>
    <w:rsid w:val="003F6074"/>
    <w:rsid w:val="004270A7"/>
    <w:rsid w:val="00452488"/>
    <w:rsid w:val="00464B78"/>
    <w:rsid w:val="00474DDF"/>
    <w:rsid w:val="00492D19"/>
    <w:rsid w:val="005037C9"/>
    <w:rsid w:val="005207D5"/>
    <w:rsid w:val="00524771"/>
    <w:rsid w:val="00570435"/>
    <w:rsid w:val="005834DC"/>
    <w:rsid w:val="005924A2"/>
    <w:rsid w:val="00594D90"/>
    <w:rsid w:val="005A01E0"/>
    <w:rsid w:val="005D6463"/>
    <w:rsid w:val="00696197"/>
    <w:rsid w:val="006E4077"/>
    <w:rsid w:val="006F2224"/>
    <w:rsid w:val="00712E72"/>
    <w:rsid w:val="00735584"/>
    <w:rsid w:val="00763C6F"/>
    <w:rsid w:val="00774AA9"/>
    <w:rsid w:val="00785537"/>
    <w:rsid w:val="007E0042"/>
    <w:rsid w:val="007E1E6F"/>
    <w:rsid w:val="008760F9"/>
    <w:rsid w:val="008873B3"/>
    <w:rsid w:val="008C1D5E"/>
    <w:rsid w:val="008C3F5C"/>
    <w:rsid w:val="008C4528"/>
    <w:rsid w:val="008E71F0"/>
    <w:rsid w:val="008F51D6"/>
    <w:rsid w:val="00991EF5"/>
    <w:rsid w:val="009949A3"/>
    <w:rsid w:val="0099582F"/>
    <w:rsid w:val="009B7024"/>
    <w:rsid w:val="009E2719"/>
    <w:rsid w:val="00A729EB"/>
    <w:rsid w:val="00AC5AE7"/>
    <w:rsid w:val="00AE4462"/>
    <w:rsid w:val="00B02F3D"/>
    <w:rsid w:val="00B070C8"/>
    <w:rsid w:val="00B12006"/>
    <w:rsid w:val="00B54973"/>
    <w:rsid w:val="00BA03DE"/>
    <w:rsid w:val="00C027F8"/>
    <w:rsid w:val="00C8652E"/>
    <w:rsid w:val="00CA0CB0"/>
    <w:rsid w:val="00D338B7"/>
    <w:rsid w:val="00D70B13"/>
    <w:rsid w:val="00D71DB3"/>
    <w:rsid w:val="00DC5AE1"/>
    <w:rsid w:val="00DC71CD"/>
    <w:rsid w:val="00DD1E97"/>
    <w:rsid w:val="00DE3B19"/>
    <w:rsid w:val="00E22E85"/>
    <w:rsid w:val="00E37C1E"/>
    <w:rsid w:val="00E569AF"/>
    <w:rsid w:val="00E70524"/>
    <w:rsid w:val="00E76195"/>
    <w:rsid w:val="00E94926"/>
    <w:rsid w:val="00EB36B2"/>
    <w:rsid w:val="00F22DB5"/>
    <w:rsid w:val="00F575D8"/>
    <w:rsid w:val="00F754E3"/>
    <w:rsid w:val="00F87558"/>
    <w:rsid w:val="00FD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94D7B"/>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line="240" w:lineRule="atLeast"/>
      </w:pPr>
    </w:pPrDefault>
  </w:docDefaults>
  <w:latentStyles w:defLockedState="0" w:defUIPriority="0" w:defSemiHidden="0" w:defUnhideWhenUsed="0" w:defQFormat="0" w:count="376">
    <w:lsdException w:name="Normal" w:qFormat="1"/>
    <w:lsdException w:name="heading 1" w:semiHidden="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lsdException w:name="Intense Reference" w:semiHidden="1"/>
    <w:lsdException w:name="Book Title" w:semiHidden="1"/>
    <w:lsdException w:name="Bibliography" w:semiHidden="1"/>
    <w:lsdException w:name="TOC Heading" w:semiHidden="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7667"/>
    <w:pPr>
      <w:overflowPunct w:val="0"/>
      <w:autoSpaceDE w:val="0"/>
      <w:autoSpaceDN w:val="0"/>
      <w:adjustRightInd w:val="0"/>
      <w:ind w:firstLine="227"/>
      <w:jc w:val="both"/>
      <w:textAlignment w:val="baseline"/>
    </w:pPr>
    <w:rPr>
      <w:rFonts w:eastAsia="Times New Roman"/>
    </w:rPr>
  </w:style>
  <w:style w:type="paragraph" w:styleId="1">
    <w:name w:val="heading 1"/>
    <w:basedOn w:val="a"/>
    <w:next w:val="p1a"/>
    <w:semiHidden/>
    <w:unhideWhenUsed/>
    <w:qFormat/>
    <w:pPr>
      <w:keepNext/>
      <w:keepLines/>
      <w:suppressAutoHyphens/>
      <w:spacing w:before="360" w:after="240" w:line="300" w:lineRule="atLeast"/>
      <w:ind w:left="567" w:hanging="567"/>
      <w:jc w:val="left"/>
      <w:outlineLvl w:val="0"/>
    </w:pPr>
    <w:rPr>
      <w:b/>
      <w:sz w:val="24"/>
    </w:rPr>
  </w:style>
  <w:style w:type="paragraph" w:styleId="2">
    <w:name w:val="heading 2"/>
    <w:basedOn w:val="a"/>
    <w:next w:val="p1a"/>
    <w:semiHidden/>
    <w:unhideWhenUsed/>
    <w:qFormat/>
    <w:pPr>
      <w:keepNext/>
      <w:keepLines/>
      <w:suppressAutoHyphens/>
      <w:spacing w:before="360" w:after="160"/>
      <w:ind w:left="567" w:hanging="567"/>
      <w:jc w:val="left"/>
      <w:outlineLvl w:val="1"/>
    </w:pPr>
    <w:rPr>
      <w:b/>
    </w:rPr>
  </w:style>
  <w:style w:type="paragraph" w:styleId="3">
    <w:name w:val="heading 3"/>
    <w:basedOn w:val="a"/>
    <w:next w:val="a"/>
    <w:qFormat/>
    <w:pPr>
      <w:spacing w:before="360"/>
      <w:ind w:firstLine="0"/>
      <w:outlineLvl w:val="2"/>
    </w:pPr>
  </w:style>
  <w:style w:type="paragraph" w:styleId="4">
    <w:name w:val="heading 4"/>
    <w:basedOn w:val="a"/>
    <w:next w:val="a"/>
    <w:qFormat/>
    <w:pPr>
      <w:spacing w:before="240"/>
      <w:ind w:firstLine="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basedOn w:val="a"/>
    <w:pPr>
      <w:spacing w:before="600" w:after="360" w:line="220" w:lineRule="atLeast"/>
      <w:ind w:left="567" w:right="567"/>
      <w:contextualSpacing/>
    </w:pPr>
    <w:rPr>
      <w:sz w:val="18"/>
    </w:rPr>
  </w:style>
  <w:style w:type="paragraph" w:customStyle="1" w:styleId="address">
    <w:name w:val="address"/>
    <w:basedOn w:val="a"/>
    <w:pPr>
      <w:spacing w:after="200" w:line="220" w:lineRule="atLeast"/>
      <w:ind w:firstLine="0"/>
      <w:contextualSpacing/>
      <w:jc w:val="center"/>
    </w:pPr>
    <w:rPr>
      <w:sz w:val="18"/>
    </w:rPr>
  </w:style>
  <w:style w:type="numbering" w:customStyle="1" w:styleId="arabnumitem">
    <w:name w:val="arabnumitem"/>
    <w:basedOn w:val="a2"/>
    <w:pPr>
      <w:numPr>
        <w:numId w:val="5"/>
      </w:numPr>
    </w:pPr>
  </w:style>
  <w:style w:type="paragraph" w:customStyle="1" w:styleId="author">
    <w:name w:val="author"/>
    <w:basedOn w:val="a"/>
    <w:next w:val="address"/>
    <w:pPr>
      <w:spacing w:after="200" w:line="220" w:lineRule="atLeast"/>
      <w:ind w:firstLine="0"/>
      <w:jc w:val="center"/>
    </w:pPr>
  </w:style>
  <w:style w:type="paragraph" w:customStyle="1" w:styleId="bulletitem">
    <w:name w:val="bulletitem"/>
    <w:basedOn w:val="a"/>
    <w:pPr>
      <w:numPr>
        <w:numId w:val="1"/>
      </w:numPr>
      <w:spacing w:before="160" w:after="160"/>
      <w:contextualSpacing/>
    </w:pPr>
  </w:style>
  <w:style w:type="paragraph" w:customStyle="1" w:styleId="dashitem">
    <w:name w:val="dashitem"/>
    <w:basedOn w:val="a"/>
    <w:pPr>
      <w:numPr>
        <w:numId w:val="3"/>
      </w:numPr>
      <w:spacing w:before="160" w:after="160"/>
      <w:contextualSpacing/>
    </w:pPr>
  </w:style>
  <w:style w:type="character" w:customStyle="1" w:styleId="e-mail">
    <w:name w:val="e-mail"/>
    <w:basedOn w:val="a0"/>
    <w:rPr>
      <w:rFonts w:ascii="Courier" w:hAnsi="Courier" w:cs="Courier"/>
      <w:noProof/>
    </w:rPr>
  </w:style>
  <w:style w:type="paragraph" w:customStyle="1" w:styleId="equation">
    <w:name w:val="equation"/>
    <w:basedOn w:val="a"/>
    <w:next w:val="a"/>
    <w:pPr>
      <w:tabs>
        <w:tab w:val="center" w:pos="3289"/>
        <w:tab w:val="right" w:pos="6917"/>
      </w:tabs>
      <w:spacing w:before="160" w:after="160"/>
      <w:ind w:firstLine="0"/>
    </w:pPr>
  </w:style>
  <w:style w:type="paragraph" w:customStyle="1" w:styleId="figurecaption">
    <w:name w:val="figurecaption"/>
    <w:basedOn w:val="a"/>
    <w:next w:val="a"/>
    <w:pPr>
      <w:keepNext/>
      <w:keepLines/>
      <w:spacing w:before="120" w:after="240" w:line="220" w:lineRule="atLeast"/>
      <w:ind w:firstLine="0"/>
      <w:jc w:val="center"/>
    </w:pPr>
    <w:rPr>
      <w:sz w:val="18"/>
    </w:rPr>
  </w:style>
  <w:style w:type="character" w:styleId="a3">
    <w:name w:val="footnote reference"/>
    <w:basedOn w:val="a0"/>
    <w:semiHidden/>
    <w:unhideWhenUsed/>
    <w:rPr>
      <w:position w:val="0"/>
      <w:vertAlign w:val="superscript"/>
    </w:rPr>
  </w:style>
  <w:style w:type="paragraph" w:styleId="a4">
    <w:name w:val="footer"/>
    <w:basedOn w:val="a"/>
    <w:unhideWhenUsed/>
  </w:style>
  <w:style w:type="paragraph" w:customStyle="1" w:styleId="heading1">
    <w:name w:val="heading1"/>
    <w:basedOn w:val="a"/>
    <w:next w:val="p1a"/>
    <w:qFormat/>
    <w:pPr>
      <w:keepNext/>
      <w:keepLines/>
      <w:numPr>
        <w:numId w:val="7"/>
      </w:numPr>
      <w:suppressAutoHyphens/>
      <w:spacing w:before="360" w:after="240" w:line="300" w:lineRule="atLeast"/>
      <w:ind w:right="567"/>
      <w:jc w:val="left"/>
      <w:outlineLvl w:val="0"/>
    </w:pPr>
    <w:rPr>
      <w:b/>
      <w:sz w:val="24"/>
    </w:rPr>
  </w:style>
  <w:style w:type="paragraph" w:customStyle="1" w:styleId="heading2">
    <w:name w:val="heading2"/>
    <w:basedOn w:val="a"/>
    <w:next w:val="p1a"/>
    <w:qFormat/>
    <w:pPr>
      <w:keepNext/>
      <w:keepLines/>
      <w:numPr>
        <w:ilvl w:val="1"/>
        <w:numId w:val="7"/>
      </w:numPr>
      <w:suppressAutoHyphens/>
      <w:spacing w:before="360" w:after="160"/>
      <w:ind w:right="567"/>
      <w:jc w:val="left"/>
      <w:outlineLvl w:val="1"/>
    </w:pPr>
    <w:rPr>
      <w:b/>
    </w:rPr>
  </w:style>
  <w:style w:type="character" w:customStyle="1" w:styleId="heading3">
    <w:name w:val="heading3"/>
    <w:basedOn w:val="a0"/>
    <w:rPr>
      <w:b/>
    </w:rPr>
  </w:style>
  <w:style w:type="character" w:customStyle="1" w:styleId="heading4">
    <w:name w:val="heading4"/>
    <w:basedOn w:val="a0"/>
    <w:rPr>
      <w:i/>
    </w:rPr>
  </w:style>
  <w:style w:type="numbering" w:customStyle="1" w:styleId="headings">
    <w:name w:val="headings"/>
    <w:basedOn w:val="arabnumitem"/>
    <w:pPr>
      <w:numPr>
        <w:numId w:val="7"/>
      </w:numPr>
    </w:pPr>
  </w:style>
  <w:style w:type="character" w:styleId="a5">
    <w:name w:val="Hyperlink"/>
    <w:basedOn w:val="a0"/>
    <w:semiHidden/>
    <w:unhideWhenUsed/>
    <w:rPr>
      <w:color w:val="auto"/>
      <w:u w:val="none"/>
    </w:rPr>
  </w:style>
  <w:style w:type="paragraph" w:customStyle="1" w:styleId="image">
    <w:name w:val="image"/>
    <w:basedOn w:val="a"/>
    <w:next w:val="a"/>
    <w:pPr>
      <w:spacing w:before="240" w:after="120"/>
      <w:ind w:firstLine="0"/>
      <w:jc w:val="center"/>
    </w:pPr>
  </w:style>
  <w:style w:type="numbering" w:customStyle="1" w:styleId="itemization1">
    <w:name w:val="itemization1"/>
    <w:basedOn w:val="a2"/>
    <w:pPr>
      <w:numPr>
        <w:numId w:val="1"/>
      </w:numPr>
    </w:pPr>
  </w:style>
  <w:style w:type="numbering" w:customStyle="1" w:styleId="itemization2">
    <w:name w:val="itemization2"/>
    <w:basedOn w:val="a2"/>
    <w:pPr>
      <w:numPr>
        <w:numId w:val="3"/>
      </w:numPr>
    </w:pPr>
  </w:style>
  <w:style w:type="paragraph" w:customStyle="1" w:styleId="keywords">
    <w:name w:val="keywords"/>
    <w:basedOn w:val="abstract"/>
    <w:next w:val="heading1"/>
    <w:pPr>
      <w:spacing w:before="220"/>
      <w:ind w:firstLine="0"/>
      <w:contextualSpacing w:val="0"/>
      <w:jc w:val="left"/>
    </w:pPr>
  </w:style>
  <w:style w:type="paragraph" w:styleId="a6">
    <w:name w:val="header"/>
    <w:basedOn w:val="a"/>
    <w:unhideWhenUsed/>
    <w:pPr>
      <w:tabs>
        <w:tab w:val="center" w:pos="4536"/>
        <w:tab w:val="right" w:pos="9072"/>
      </w:tabs>
      <w:ind w:firstLine="0"/>
    </w:pPr>
    <w:rPr>
      <w:sz w:val="18"/>
      <w:szCs w:val="18"/>
    </w:rPr>
  </w:style>
  <w:style w:type="paragraph" w:customStyle="1" w:styleId="numitem">
    <w:name w:val="numitem"/>
    <w:basedOn w:val="a"/>
    <w:pPr>
      <w:numPr>
        <w:numId w:val="5"/>
      </w:numPr>
      <w:spacing w:before="160" w:after="160"/>
      <w:contextualSpacing/>
    </w:pPr>
  </w:style>
  <w:style w:type="paragraph" w:customStyle="1" w:styleId="p1a">
    <w:name w:val="p1a"/>
    <w:basedOn w:val="a"/>
    <w:next w:val="a"/>
    <w:pPr>
      <w:ind w:firstLine="0"/>
    </w:pPr>
  </w:style>
  <w:style w:type="paragraph" w:customStyle="1" w:styleId="programcode">
    <w:name w:val="programcode"/>
    <w:basedOn w:val="a"/>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ind w:firstLine="0"/>
      <w:contextualSpacing/>
      <w:jc w:val="left"/>
    </w:pPr>
    <w:rPr>
      <w:rFonts w:ascii="Courier" w:hAnsi="Courier" w:cs="Courier"/>
    </w:rPr>
  </w:style>
  <w:style w:type="paragraph" w:customStyle="1" w:styleId="referenceitem">
    <w:name w:val="referenceitem"/>
    <w:basedOn w:val="a"/>
    <w:rsid w:val="00AE4462"/>
    <w:pPr>
      <w:numPr>
        <w:numId w:val="8"/>
      </w:numPr>
      <w:spacing w:line="220" w:lineRule="atLeast"/>
    </w:pPr>
    <w:rPr>
      <w:sz w:val="18"/>
    </w:rPr>
  </w:style>
  <w:style w:type="numbering" w:customStyle="1" w:styleId="referencelist">
    <w:name w:val="referencelist"/>
    <w:basedOn w:val="a2"/>
    <w:semiHidden/>
    <w:pPr>
      <w:numPr>
        <w:numId w:val="8"/>
      </w:numPr>
    </w:pPr>
  </w:style>
  <w:style w:type="paragraph" w:customStyle="1" w:styleId="runninghead-left">
    <w:name w:val="running head - left"/>
    <w:basedOn w:val="a"/>
    <w:pPr>
      <w:ind w:firstLine="0"/>
      <w:jc w:val="left"/>
    </w:pPr>
    <w:rPr>
      <w:sz w:val="18"/>
      <w:szCs w:val="18"/>
    </w:rPr>
  </w:style>
  <w:style w:type="paragraph" w:customStyle="1" w:styleId="runninghead-right">
    <w:name w:val="running head - right"/>
    <w:basedOn w:val="a"/>
    <w:pPr>
      <w:ind w:firstLine="0"/>
      <w:jc w:val="right"/>
    </w:pPr>
    <w:rPr>
      <w:bCs/>
      <w:sz w:val="18"/>
      <w:szCs w:val="18"/>
    </w:rPr>
  </w:style>
  <w:style w:type="character" w:styleId="a7">
    <w:name w:val="page number"/>
    <w:basedOn w:val="a0"/>
    <w:semiHidden/>
    <w:unhideWhenUsed/>
    <w:rPr>
      <w:sz w:val="18"/>
    </w:rPr>
  </w:style>
  <w:style w:type="paragraph" w:customStyle="1" w:styleId="papertitle">
    <w:name w:val="papertitle"/>
    <w:basedOn w:val="a"/>
    <w:next w:val="author"/>
    <w:pPr>
      <w:keepNext/>
      <w:keepLines/>
      <w:suppressAutoHyphens/>
      <w:spacing w:after="480" w:line="360" w:lineRule="atLeast"/>
      <w:ind w:firstLine="0"/>
      <w:jc w:val="center"/>
    </w:pPr>
    <w:rPr>
      <w:b/>
      <w:sz w:val="28"/>
    </w:rPr>
  </w:style>
  <w:style w:type="paragraph" w:customStyle="1" w:styleId="papersubtitle">
    <w:name w:val="papersubtitle"/>
    <w:basedOn w:val="papertitle"/>
    <w:next w:val="author"/>
    <w:pPr>
      <w:spacing w:before="120" w:line="280" w:lineRule="atLeast"/>
    </w:pPr>
    <w:rPr>
      <w:sz w:val="24"/>
    </w:rPr>
  </w:style>
  <w:style w:type="paragraph" w:customStyle="1" w:styleId="tablecaption">
    <w:name w:val="tablecaption"/>
    <w:basedOn w:val="a"/>
    <w:next w:val="a"/>
    <w:pPr>
      <w:keepNext/>
      <w:keepLines/>
      <w:spacing w:before="240" w:after="120" w:line="220" w:lineRule="atLeast"/>
      <w:ind w:firstLine="0"/>
      <w:jc w:val="center"/>
    </w:pPr>
    <w:rPr>
      <w:sz w:val="18"/>
    </w:rPr>
  </w:style>
  <w:style w:type="character" w:customStyle="1" w:styleId="url">
    <w:name w:val="url"/>
    <w:basedOn w:val="a0"/>
    <w:rPr>
      <w:rFonts w:ascii="Courier" w:hAnsi="Courier" w:cs="Courier"/>
      <w:noProof/>
    </w:rPr>
  </w:style>
  <w:style w:type="character" w:customStyle="1" w:styleId="ORCID">
    <w:name w:val="ORCID"/>
    <w:basedOn w:val="a0"/>
    <w:rPr>
      <w:noProof/>
      <w:position w:val="0"/>
      <w:vertAlign w:val="superscript"/>
    </w:rPr>
  </w:style>
  <w:style w:type="paragraph" w:styleId="a8">
    <w:name w:val="footnote text"/>
    <w:basedOn w:val="a"/>
    <w:semiHidden/>
    <w:pPr>
      <w:spacing w:line="220" w:lineRule="atLeast"/>
      <w:ind w:left="227" w:hanging="227"/>
    </w:pPr>
    <w:rPr>
      <w:sz w:val="18"/>
    </w:rPr>
  </w:style>
  <w:style w:type="paragraph" w:customStyle="1" w:styleId="ReferenceLine">
    <w:name w:val="ReferenceLine"/>
    <w:basedOn w:val="p1a"/>
    <w:semiHidden/>
    <w:unhideWhenUsed/>
    <w:pPr>
      <w:spacing w:line="200" w:lineRule="exact"/>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42532">
      <w:bodyDiv w:val="1"/>
      <w:marLeft w:val="0"/>
      <w:marRight w:val="0"/>
      <w:marTop w:val="0"/>
      <w:marBottom w:val="0"/>
      <w:divBdr>
        <w:top w:val="none" w:sz="0" w:space="0" w:color="auto"/>
        <w:left w:val="none" w:sz="0" w:space="0" w:color="auto"/>
        <w:bottom w:val="none" w:sz="0" w:space="0" w:color="auto"/>
        <w:right w:val="none" w:sz="0" w:space="0" w:color="auto"/>
      </w:divBdr>
      <w:divsChild>
        <w:div w:id="953637335">
          <w:marLeft w:val="0"/>
          <w:marRight w:val="0"/>
          <w:marTop w:val="0"/>
          <w:marBottom w:val="0"/>
          <w:divBdr>
            <w:top w:val="none" w:sz="0" w:space="0" w:color="auto"/>
            <w:left w:val="none" w:sz="0" w:space="0" w:color="auto"/>
            <w:bottom w:val="none" w:sz="0" w:space="0" w:color="auto"/>
            <w:right w:val="none" w:sz="0" w:space="0" w:color="auto"/>
          </w:divBdr>
          <w:divsChild>
            <w:div w:id="2008556231">
              <w:marLeft w:val="0"/>
              <w:marRight w:val="0"/>
              <w:marTop w:val="0"/>
              <w:marBottom w:val="0"/>
              <w:divBdr>
                <w:top w:val="none" w:sz="0" w:space="0" w:color="auto"/>
                <w:left w:val="none" w:sz="0" w:space="0" w:color="auto"/>
                <w:bottom w:val="none" w:sz="0" w:space="0" w:color="auto"/>
                <w:right w:val="none" w:sz="0" w:space="0" w:color="auto"/>
              </w:divBdr>
              <w:divsChild>
                <w:div w:id="1510019810">
                  <w:marLeft w:val="0"/>
                  <w:marRight w:val="0"/>
                  <w:marTop w:val="0"/>
                  <w:marBottom w:val="120"/>
                  <w:divBdr>
                    <w:top w:val="none" w:sz="0" w:space="0" w:color="auto"/>
                    <w:left w:val="none" w:sz="0" w:space="0" w:color="auto"/>
                    <w:bottom w:val="none" w:sz="0" w:space="0" w:color="auto"/>
                    <w:right w:val="none" w:sz="0" w:space="0" w:color="auto"/>
                  </w:divBdr>
                  <w:divsChild>
                    <w:div w:id="355695183">
                      <w:marLeft w:val="0"/>
                      <w:marRight w:val="0"/>
                      <w:marTop w:val="0"/>
                      <w:marBottom w:val="0"/>
                      <w:divBdr>
                        <w:top w:val="none" w:sz="0" w:space="0" w:color="auto"/>
                        <w:left w:val="none" w:sz="0" w:space="0" w:color="auto"/>
                        <w:bottom w:val="none" w:sz="0" w:space="0" w:color="auto"/>
                        <w:right w:val="none" w:sz="0" w:space="0" w:color="auto"/>
                      </w:divBdr>
                      <w:divsChild>
                        <w:div w:id="813564488">
                          <w:marLeft w:val="0"/>
                          <w:marRight w:val="0"/>
                          <w:marTop w:val="0"/>
                          <w:marBottom w:val="0"/>
                          <w:divBdr>
                            <w:top w:val="none" w:sz="0" w:space="0" w:color="auto"/>
                            <w:left w:val="none" w:sz="0" w:space="0" w:color="auto"/>
                            <w:bottom w:val="none" w:sz="0" w:space="0" w:color="auto"/>
                            <w:right w:val="none" w:sz="0" w:space="0" w:color="auto"/>
                          </w:divBdr>
                          <w:divsChild>
                            <w:div w:id="324480064">
                              <w:marLeft w:val="0"/>
                              <w:marRight w:val="0"/>
                              <w:marTop w:val="0"/>
                              <w:marBottom w:val="0"/>
                              <w:divBdr>
                                <w:top w:val="none" w:sz="0" w:space="0" w:color="auto"/>
                                <w:left w:val="none" w:sz="0" w:space="0" w:color="auto"/>
                                <w:bottom w:val="none" w:sz="0" w:space="0" w:color="auto"/>
                                <w:right w:val="none" w:sz="0" w:space="0" w:color="auto"/>
                              </w:divBdr>
                              <w:divsChild>
                                <w:div w:id="974796717">
                                  <w:marLeft w:val="0"/>
                                  <w:marRight w:val="0"/>
                                  <w:marTop w:val="0"/>
                                  <w:marBottom w:val="0"/>
                                  <w:divBdr>
                                    <w:top w:val="none" w:sz="0" w:space="0" w:color="auto"/>
                                    <w:left w:val="none" w:sz="0" w:space="0" w:color="auto"/>
                                    <w:bottom w:val="none" w:sz="0" w:space="0" w:color="auto"/>
                                    <w:right w:val="none" w:sz="0" w:space="0" w:color="auto"/>
                                  </w:divBdr>
                                  <w:divsChild>
                                    <w:div w:id="1087728428">
                                      <w:marLeft w:val="0"/>
                                      <w:marRight w:val="0"/>
                                      <w:marTop w:val="0"/>
                                      <w:marBottom w:val="0"/>
                                      <w:divBdr>
                                        <w:top w:val="none" w:sz="0" w:space="0" w:color="auto"/>
                                        <w:left w:val="none" w:sz="0" w:space="0" w:color="auto"/>
                                        <w:bottom w:val="none" w:sz="0" w:space="0" w:color="auto"/>
                                        <w:right w:val="none" w:sz="0" w:space="0" w:color="auto"/>
                                      </w:divBdr>
                                      <w:divsChild>
                                        <w:div w:id="1322348607">
                                          <w:marLeft w:val="0"/>
                                          <w:marRight w:val="0"/>
                                          <w:marTop w:val="0"/>
                                          <w:marBottom w:val="0"/>
                                          <w:divBdr>
                                            <w:top w:val="none" w:sz="0" w:space="0" w:color="auto"/>
                                            <w:left w:val="none" w:sz="0" w:space="0" w:color="auto"/>
                                            <w:bottom w:val="none" w:sz="0" w:space="0" w:color="auto"/>
                                            <w:right w:val="none" w:sz="0" w:space="0" w:color="auto"/>
                                          </w:divBdr>
                                          <w:divsChild>
                                            <w:div w:id="73204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14748">
                                      <w:marLeft w:val="0"/>
                                      <w:marRight w:val="0"/>
                                      <w:marTop w:val="180"/>
                                      <w:marBottom w:val="180"/>
                                      <w:divBdr>
                                        <w:top w:val="none" w:sz="0" w:space="0" w:color="auto"/>
                                        <w:left w:val="none" w:sz="0" w:space="0" w:color="auto"/>
                                        <w:bottom w:val="none" w:sz="0" w:space="0" w:color="auto"/>
                                        <w:right w:val="none" w:sz="0" w:space="0" w:color="auto"/>
                                      </w:divBdr>
                                      <w:divsChild>
                                        <w:div w:id="64875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3231851">
          <w:marLeft w:val="0"/>
          <w:marRight w:val="0"/>
          <w:marTop w:val="0"/>
          <w:marBottom w:val="0"/>
          <w:divBdr>
            <w:top w:val="none" w:sz="0" w:space="0" w:color="auto"/>
            <w:left w:val="none" w:sz="0" w:space="0" w:color="auto"/>
            <w:bottom w:val="none" w:sz="0" w:space="0" w:color="auto"/>
            <w:right w:val="none" w:sz="0" w:space="0" w:color="auto"/>
          </w:divBdr>
          <w:divsChild>
            <w:div w:id="1333485407">
              <w:marLeft w:val="0"/>
              <w:marRight w:val="0"/>
              <w:marTop w:val="0"/>
              <w:marBottom w:val="0"/>
              <w:divBdr>
                <w:top w:val="none" w:sz="0" w:space="0" w:color="auto"/>
                <w:left w:val="none" w:sz="0" w:space="0" w:color="auto"/>
                <w:bottom w:val="none" w:sz="0" w:space="0" w:color="auto"/>
                <w:right w:val="none" w:sz="0" w:space="0" w:color="auto"/>
              </w:divBdr>
              <w:divsChild>
                <w:div w:id="531305632">
                  <w:marLeft w:val="0"/>
                  <w:marRight w:val="0"/>
                  <w:marTop w:val="0"/>
                  <w:marBottom w:val="0"/>
                  <w:divBdr>
                    <w:top w:val="none" w:sz="0" w:space="0" w:color="auto"/>
                    <w:left w:val="none" w:sz="0" w:space="0" w:color="auto"/>
                    <w:bottom w:val="none" w:sz="0" w:space="0" w:color="auto"/>
                    <w:right w:val="none" w:sz="0" w:space="0" w:color="auto"/>
                  </w:divBdr>
                  <w:divsChild>
                    <w:div w:id="1362704198">
                      <w:marLeft w:val="0"/>
                      <w:marRight w:val="0"/>
                      <w:marTop w:val="0"/>
                      <w:marBottom w:val="0"/>
                      <w:divBdr>
                        <w:top w:val="none" w:sz="0" w:space="0" w:color="auto"/>
                        <w:left w:val="none" w:sz="0" w:space="0" w:color="auto"/>
                        <w:bottom w:val="none" w:sz="0" w:space="0" w:color="auto"/>
                        <w:right w:val="none" w:sz="0" w:space="0" w:color="auto"/>
                      </w:divBdr>
                      <w:divsChild>
                        <w:div w:id="1693606234">
                          <w:marLeft w:val="0"/>
                          <w:marRight w:val="0"/>
                          <w:marTop w:val="0"/>
                          <w:marBottom w:val="0"/>
                          <w:divBdr>
                            <w:top w:val="single" w:sz="6" w:space="0" w:color="auto"/>
                            <w:left w:val="single" w:sz="6" w:space="0" w:color="auto"/>
                            <w:bottom w:val="single" w:sz="6" w:space="5" w:color="auto"/>
                            <w:right w:val="single" w:sz="6" w:space="0" w:color="auto"/>
                          </w:divBdr>
                          <w:divsChild>
                            <w:div w:id="1829831880">
                              <w:marLeft w:val="0"/>
                              <w:marRight w:val="0"/>
                              <w:marTop w:val="60"/>
                              <w:marBottom w:val="0"/>
                              <w:divBdr>
                                <w:top w:val="none" w:sz="0" w:space="0" w:color="auto"/>
                                <w:left w:val="none" w:sz="0" w:space="0" w:color="auto"/>
                                <w:bottom w:val="none" w:sz="0" w:space="0" w:color="auto"/>
                                <w:right w:val="none" w:sz="0" w:space="0" w:color="auto"/>
                              </w:divBdr>
                              <w:divsChild>
                                <w:div w:id="92028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4779323">
      <w:bodyDiv w:val="1"/>
      <w:marLeft w:val="0"/>
      <w:marRight w:val="0"/>
      <w:marTop w:val="0"/>
      <w:marBottom w:val="0"/>
      <w:divBdr>
        <w:top w:val="none" w:sz="0" w:space="0" w:color="auto"/>
        <w:left w:val="none" w:sz="0" w:space="0" w:color="auto"/>
        <w:bottom w:val="none" w:sz="0" w:space="0" w:color="auto"/>
        <w:right w:val="none" w:sz="0" w:space="0" w:color="auto"/>
      </w:divBdr>
      <w:divsChild>
        <w:div w:id="961959441">
          <w:marLeft w:val="0"/>
          <w:marRight w:val="0"/>
          <w:marTop w:val="0"/>
          <w:marBottom w:val="0"/>
          <w:divBdr>
            <w:top w:val="none" w:sz="0" w:space="0" w:color="auto"/>
            <w:left w:val="none" w:sz="0" w:space="0" w:color="auto"/>
            <w:bottom w:val="none" w:sz="0" w:space="0" w:color="auto"/>
            <w:right w:val="none" w:sz="0" w:space="0" w:color="auto"/>
          </w:divBdr>
          <w:divsChild>
            <w:div w:id="306670718">
              <w:marLeft w:val="0"/>
              <w:marRight w:val="0"/>
              <w:marTop w:val="0"/>
              <w:marBottom w:val="0"/>
              <w:divBdr>
                <w:top w:val="none" w:sz="0" w:space="0" w:color="auto"/>
                <w:left w:val="none" w:sz="0" w:space="0" w:color="auto"/>
                <w:bottom w:val="none" w:sz="0" w:space="0" w:color="auto"/>
                <w:right w:val="none" w:sz="0" w:space="0" w:color="auto"/>
              </w:divBdr>
              <w:divsChild>
                <w:div w:id="1384863690">
                  <w:marLeft w:val="0"/>
                  <w:marRight w:val="0"/>
                  <w:marTop w:val="0"/>
                  <w:marBottom w:val="120"/>
                  <w:divBdr>
                    <w:top w:val="none" w:sz="0" w:space="0" w:color="auto"/>
                    <w:left w:val="none" w:sz="0" w:space="0" w:color="auto"/>
                    <w:bottom w:val="none" w:sz="0" w:space="0" w:color="auto"/>
                    <w:right w:val="none" w:sz="0" w:space="0" w:color="auto"/>
                  </w:divBdr>
                  <w:divsChild>
                    <w:div w:id="1408726950">
                      <w:marLeft w:val="0"/>
                      <w:marRight w:val="0"/>
                      <w:marTop w:val="0"/>
                      <w:marBottom w:val="0"/>
                      <w:divBdr>
                        <w:top w:val="none" w:sz="0" w:space="0" w:color="auto"/>
                        <w:left w:val="none" w:sz="0" w:space="0" w:color="auto"/>
                        <w:bottom w:val="none" w:sz="0" w:space="0" w:color="auto"/>
                        <w:right w:val="none" w:sz="0" w:space="0" w:color="auto"/>
                      </w:divBdr>
                      <w:divsChild>
                        <w:div w:id="1619340023">
                          <w:marLeft w:val="0"/>
                          <w:marRight w:val="0"/>
                          <w:marTop w:val="0"/>
                          <w:marBottom w:val="0"/>
                          <w:divBdr>
                            <w:top w:val="none" w:sz="0" w:space="0" w:color="auto"/>
                            <w:left w:val="none" w:sz="0" w:space="0" w:color="auto"/>
                            <w:bottom w:val="none" w:sz="0" w:space="0" w:color="auto"/>
                            <w:right w:val="none" w:sz="0" w:space="0" w:color="auto"/>
                          </w:divBdr>
                          <w:divsChild>
                            <w:div w:id="1441870847">
                              <w:marLeft w:val="0"/>
                              <w:marRight w:val="0"/>
                              <w:marTop w:val="0"/>
                              <w:marBottom w:val="0"/>
                              <w:divBdr>
                                <w:top w:val="none" w:sz="0" w:space="0" w:color="auto"/>
                                <w:left w:val="none" w:sz="0" w:space="0" w:color="auto"/>
                                <w:bottom w:val="none" w:sz="0" w:space="0" w:color="auto"/>
                                <w:right w:val="none" w:sz="0" w:space="0" w:color="auto"/>
                              </w:divBdr>
                              <w:divsChild>
                                <w:div w:id="1662153772">
                                  <w:marLeft w:val="0"/>
                                  <w:marRight w:val="0"/>
                                  <w:marTop w:val="0"/>
                                  <w:marBottom w:val="0"/>
                                  <w:divBdr>
                                    <w:top w:val="none" w:sz="0" w:space="0" w:color="auto"/>
                                    <w:left w:val="none" w:sz="0" w:space="0" w:color="auto"/>
                                    <w:bottom w:val="none" w:sz="0" w:space="0" w:color="auto"/>
                                    <w:right w:val="none" w:sz="0" w:space="0" w:color="auto"/>
                                  </w:divBdr>
                                  <w:divsChild>
                                    <w:div w:id="1288514703">
                                      <w:marLeft w:val="0"/>
                                      <w:marRight w:val="0"/>
                                      <w:marTop w:val="0"/>
                                      <w:marBottom w:val="0"/>
                                      <w:divBdr>
                                        <w:top w:val="none" w:sz="0" w:space="0" w:color="auto"/>
                                        <w:left w:val="none" w:sz="0" w:space="0" w:color="auto"/>
                                        <w:bottom w:val="none" w:sz="0" w:space="0" w:color="auto"/>
                                        <w:right w:val="none" w:sz="0" w:space="0" w:color="auto"/>
                                      </w:divBdr>
                                      <w:divsChild>
                                        <w:div w:id="361325260">
                                          <w:marLeft w:val="0"/>
                                          <w:marRight w:val="0"/>
                                          <w:marTop w:val="0"/>
                                          <w:marBottom w:val="0"/>
                                          <w:divBdr>
                                            <w:top w:val="none" w:sz="0" w:space="0" w:color="auto"/>
                                            <w:left w:val="none" w:sz="0" w:space="0" w:color="auto"/>
                                            <w:bottom w:val="none" w:sz="0" w:space="0" w:color="auto"/>
                                            <w:right w:val="none" w:sz="0" w:space="0" w:color="auto"/>
                                          </w:divBdr>
                                          <w:divsChild>
                                            <w:div w:id="85708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7584">
                                      <w:marLeft w:val="0"/>
                                      <w:marRight w:val="0"/>
                                      <w:marTop w:val="180"/>
                                      <w:marBottom w:val="180"/>
                                      <w:divBdr>
                                        <w:top w:val="none" w:sz="0" w:space="0" w:color="auto"/>
                                        <w:left w:val="none" w:sz="0" w:space="0" w:color="auto"/>
                                        <w:bottom w:val="none" w:sz="0" w:space="0" w:color="auto"/>
                                        <w:right w:val="none" w:sz="0" w:space="0" w:color="auto"/>
                                      </w:divBdr>
                                      <w:divsChild>
                                        <w:div w:id="10289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6875433">
          <w:marLeft w:val="0"/>
          <w:marRight w:val="0"/>
          <w:marTop w:val="0"/>
          <w:marBottom w:val="0"/>
          <w:divBdr>
            <w:top w:val="none" w:sz="0" w:space="0" w:color="auto"/>
            <w:left w:val="none" w:sz="0" w:space="0" w:color="auto"/>
            <w:bottom w:val="none" w:sz="0" w:space="0" w:color="auto"/>
            <w:right w:val="none" w:sz="0" w:space="0" w:color="auto"/>
          </w:divBdr>
          <w:divsChild>
            <w:div w:id="554314197">
              <w:marLeft w:val="0"/>
              <w:marRight w:val="0"/>
              <w:marTop w:val="0"/>
              <w:marBottom w:val="0"/>
              <w:divBdr>
                <w:top w:val="none" w:sz="0" w:space="0" w:color="auto"/>
                <w:left w:val="none" w:sz="0" w:space="0" w:color="auto"/>
                <w:bottom w:val="none" w:sz="0" w:space="0" w:color="auto"/>
                <w:right w:val="none" w:sz="0" w:space="0" w:color="auto"/>
              </w:divBdr>
              <w:divsChild>
                <w:div w:id="1099254837">
                  <w:marLeft w:val="0"/>
                  <w:marRight w:val="0"/>
                  <w:marTop w:val="0"/>
                  <w:marBottom w:val="0"/>
                  <w:divBdr>
                    <w:top w:val="none" w:sz="0" w:space="0" w:color="auto"/>
                    <w:left w:val="none" w:sz="0" w:space="0" w:color="auto"/>
                    <w:bottom w:val="none" w:sz="0" w:space="0" w:color="auto"/>
                    <w:right w:val="none" w:sz="0" w:space="0" w:color="auto"/>
                  </w:divBdr>
                  <w:divsChild>
                    <w:div w:id="931275436">
                      <w:marLeft w:val="0"/>
                      <w:marRight w:val="0"/>
                      <w:marTop w:val="0"/>
                      <w:marBottom w:val="0"/>
                      <w:divBdr>
                        <w:top w:val="none" w:sz="0" w:space="0" w:color="auto"/>
                        <w:left w:val="none" w:sz="0" w:space="0" w:color="auto"/>
                        <w:bottom w:val="none" w:sz="0" w:space="0" w:color="auto"/>
                        <w:right w:val="none" w:sz="0" w:space="0" w:color="auto"/>
                      </w:divBdr>
                      <w:divsChild>
                        <w:div w:id="643048418">
                          <w:marLeft w:val="0"/>
                          <w:marRight w:val="0"/>
                          <w:marTop w:val="0"/>
                          <w:marBottom w:val="0"/>
                          <w:divBdr>
                            <w:top w:val="none" w:sz="0" w:space="0" w:color="auto"/>
                            <w:left w:val="none" w:sz="0" w:space="0" w:color="auto"/>
                            <w:bottom w:val="none" w:sz="0" w:space="0" w:color="auto"/>
                            <w:right w:val="none" w:sz="0" w:space="0" w:color="auto"/>
                          </w:divBdr>
                          <w:divsChild>
                            <w:div w:id="852114023">
                              <w:marLeft w:val="0"/>
                              <w:marRight w:val="0"/>
                              <w:marTop w:val="0"/>
                              <w:marBottom w:val="0"/>
                              <w:divBdr>
                                <w:top w:val="none" w:sz="0" w:space="0" w:color="auto"/>
                                <w:left w:val="none" w:sz="0" w:space="0" w:color="auto"/>
                                <w:bottom w:val="none" w:sz="0" w:space="0" w:color="auto"/>
                                <w:right w:val="none" w:sz="0" w:space="0" w:color="auto"/>
                              </w:divBdr>
                              <w:divsChild>
                                <w:div w:id="89203642">
                                  <w:marLeft w:val="0"/>
                                  <w:marRight w:val="0"/>
                                  <w:marTop w:val="0"/>
                                  <w:marBottom w:val="0"/>
                                  <w:divBdr>
                                    <w:top w:val="none" w:sz="0" w:space="0" w:color="auto"/>
                                    <w:left w:val="none" w:sz="0" w:space="0" w:color="auto"/>
                                    <w:bottom w:val="none" w:sz="0" w:space="0" w:color="auto"/>
                                    <w:right w:val="none" w:sz="0" w:space="0" w:color="auto"/>
                                  </w:divBdr>
                                  <w:divsChild>
                                    <w:div w:id="190286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_rels/customUI14.xml.rels><?xml version="1.0" encoding="UTF-8" standalone="yes"?>
<Relationships xmlns="http://schemas.openxmlformats.org/package/2006/relationships"><Relationship Id="FigCaption" Type="http://schemas.openxmlformats.org/officeDocument/2006/relationships/image" Target="images/FigCaption.png"/><Relationship Id="papertitle" Type="http://schemas.openxmlformats.org/officeDocument/2006/relationships/image" Target="images/papertitle.png"/><Relationship Id="ORCID" Type="http://schemas.openxmlformats.org/officeDocument/2006/relationships/image" Target="images/ORCID.png"/><Relationship Id="removespace" Type="http://schemas.openxmlformats.org/officeDocument/2006/relationships/image" Target="images/removespace.png"/><Relationship Id="bulletitem" Type="http://schemas.openxmlformats.org/officeDocument/2006/relationships/image" Target="images/bulletitem.png"/><Relationship Id="arrowleft" Type="http://schemas.openxmlformats.org/officeDocument/2006/relationships/image" Target="images/arrowleft.png"/><Relationship Id="addspace" Type="http://schemas.openxmlformats.org/officeDocument/2006/relationships/image" Target="images/addspace.png"/><Relationship Id="togglenumbering" Type="http://schemas.openxmlformats.org/officeDocument/2006/relationships/image" Target="images/togglenumbering.png"/><Relationship Id="referenceitem" Type="http://schemas.openxmlformats.org/officeDocument/2006/relationships/image" Target="images/referenceitem.png"/><Relationship Id="eqnumber" Type="http://schemas.openxmlformats.org/officeDocument/2006/relationships/image" Target="images/eqnumber.png"/><Relationship Id="normalspace" Type="http://schemas.openxmlformats.org/officeDocument/2006/relationships/image" Target="images/normalspace.png"/><Relationship Id="RedoStyles" Type="http://schemas.openxmlformats.org/officeDocument/2006/relationships/image" Target="images/RedoStyles.png"/><Relationship Id="arrowright" Type="http://schemas.openxmlformats.org/officeDocument/2006/relationships/image" Target="images/arrowright.png"/><Relationship Id="abstract" Type="http://schemas.openxmlformats.org/officeDocument/2006/relationships/image" Target="images/abstract.png"/><Relationship Id="TabCaption" Type="http://schemas.openxmlformats.org/officeDocument/2006/relationships/image" Target="images/TabCaption.png"/><Relationship Id="equation" Type="http://schemas.openxmlformats.org/officeDocument/2006/relationships/image" Target="images/equation.png"/><Relationship Id="normal" Type="http://schemas.openxmlformats.org/officeDocument/2006/relationships/image" Target="images/normal.png"/><Relationship Id="squeeze" Type="http://schemas.openxmlformats.org/officeDocument/2006/relationships/image" Target="images/squeeze.png"/><Relationship Id="InsertImage" Type="http://schemas.openxmlformats.org/officeDocument/2006/relationships/image" Target="images/InsertImage.png"/><Relationship Id="expand" Type="http://schemas.openxmlformats.org/officeDocument/2006/relationships/image" Target="images/expand.png"/><Relationship Id="InsertImage24" Type="http://schemas.openxmlformats.org/officeDocument/2006/relationships/image" Target="images/InsertImage24.png"/><Relationship Id="TabCaption24" Type="http://schemas.openxmlformats.org/officeDocument/2006/relationships/image" Target="images/TabCaption24.png"/><Relationship Id="FigCaption24" Type="http://schemas.openxmlformats.org/officeDocument/2006/relationships/image" Target="images/FigCaption24.png"/><Relationship Id="numitem" Type="http://schemas.openxmlformats.org/officeDocument/2006/relationships/image" Target="images/numitem.png"/><Relationship Id="papersubtitle" Type="http://schemas.openxmlformats.org/officeDocument/2006/relationships/image" Target="images/subtitle.png"/><Relationship Id="dashitem" Type="http://schemas.openxmlformats.org/officeDocument/2006/relationships/image" Target="images/dashitem.png"/><Relationship Id="address" Type="http://schemas.openxmlformats.org/officeDocument/2006/relationships/image" Target="images/address.png"/><Relationship Id="HeaderFooter" Type="http://schemas.openxmlformats.org/officeDocument/2006/relationships/image" Target="images/HeaderFooter.png"/><Relationship Id="author" Type="http://schemas.openxmlformats.org/officeDocument/2006/relationships/image" Target="images/author.png"/></Relationships>
</file>

<file path=customUI/customUI14.xml><?xml version="1.0" encoding="utf-8"?>
<customUI xmlns="http://schemas.microsoft.com/office/2009/07/customui" onLoad="LoadSpProcRibbon">
  <ribbon startFromScratch="false">
    <tabs>
      <tab id="tabSpProc" insertBeforeMso="TabHome" label="Springer Proceedings Macros">
        <group id="grTitlePage" label="Title Page" autoScale="true">
          <button id="btnTitle" label="Title" image="papertitle" size="large" onAction="MakeTitle" screentip="Format the selected text as paper title"/>
          <button id="btnSubtitle" label="Subtitle" image="papersubtitle" size="large" onAction="MakeSubtitle" screentip="Format the selected text as paper subtitle (optional)"/>
          <button id="btnAuthor" label="Author" image="author" size="large" onAction="MakeAuthor" screentip="Format the selected text as paper author(s)"/>
          <box id="box1" boxStyle="vertical">
            <button id="btnORCID" label="ORCID" image="ORCID" size="normal" onAction="MakeORCID" screentip="Format the selected text as ORCID id" supertip="Please note that ORCID ids will not be printed. In the online version they will be replaced by icons that are linked to the related ORCID pages."/>
          </box>
          <box id="box11">
            <button id="btnAddress" label="Address" image="address" size="normal" onAction="MakeAddress" screentip="Format the selected text as affiliation (including e-mail address, URL)"/>
          </box>
          <box id="box12">
            <button id="btnEmail" label="E-mail" imageMso="EnvelopesAndLabelsDialog" size="normal" onAction="MakeEMail" screentip="Format the selected text as e-mail address or URL (apply typewriter style)"/>
          </box>
          <button id="btnAbstract" label="Abstract" image="abstract" size="large" onAction="MakeAbstract" screentip="Format the selected text as abstract" supertip="If not present, the word 'Abstract' is added at the beginning of the first paragraph."/>
          <button id="btnKeywords" label="Keywords" imageMso="ReviewTrackChanges" size="large" onAction="MakeKeywords" screentip="Format the selected text as keywords" supertip="If not present, the word 'Keywords' is added at the beginning of the first paragraph."/>
        </group>
        <group id="grBasicFormats" image="lncs2" label="Basic Formats" autoScale="true">
          <button id="btnH1" label="H1" imageMso="PivotTableLayoutShowInOutlineForm" size="large" onAction="H1" screentip="Format the selected text as heading (level 1)"/>
          <button id="btnH2" label="H2" imageMso="PivotTableLayoutShowInCompactForm" size="large" onAction="H2" screentip="Format the selected text as heading (level 2)"/>
          <button id="btnH3" label="H3" imageMso="PivotTableLayoutBlankRows" size="large" onAction="H3" screentip="Format the selected text as an unnumbered heading (level 3)"/>
          <button id="btnH4" label="H4" imageMso="PivotTableLayoutSubtotals" size="large" onAction="H4" screentip="Format the selected text as an unnumbered heading (level 4)"/>
          <box id="box2" boxStyle="vertical">
            <button id="btnBullet" label="Bullet Item" image="bulletitem" onAction="MakeBulletItem" screentip="Format the selected text as bullet item(s)" supertip="Please note that bullets are the default for unnumbered lists in Springer proceedings."/>
          </box>
          <box id="box21" boxStyle="vertical">
            <button id="btnDash" label="Dash Item" image="dashitem" onAction="MakeDashItem" screentip="Format the selected text as dash item(s)" supertip="Please note that bullets are the default for unnumbered lists in Springer proceedings."/>
          </box>
          <box id="box22" boxStyle="vertical">
            <button id="btnNumbered" label="Num Item" image="numitem" onAction="MakeNumItem" screentip="Format the selected text as numbered item(s)"/>
          </box>
          <box id="box3" boxStyle="horizontal">
            <button id="btnListLevelUp" label="List Level +" image="arrowright" onAction="ListLevelUp" screentip="Move the selected text one level up in the list hierarchy" supertip="This buttton can be used to create and edit nested lists (numbered and unnumbered)."/>
          </box>
          <box id="box31" boxStyle="vertical">
            <button id="btnListLevelDown" label="List Level -" image="arrowleft" onAction="ListLevelDown" screentip="Move the selected text one level down in the list hierarchy" supertip="This buttton can be used to create and edit nested lists (numbered and unnumbered)."/>
          </box>
          <box id="box23" boxStyle="vertical">
            <button id="btnToggleNum" label=" 1../..n.." image="togglenumbering" onAction="RestartNumbering" screentip="Toggle between restarting and continuing a numbered list" supertip="Applies to numbered lists only."/>
          </box>
          <button id="btnStandard" label="Normal Text" image="normal" size="large" onAction="MakeStandard" screentip="Format the selection as normal text" supertip="This button can change both paragraph format and character style. If applied to a nonstandard paragraph, the standard paragraph format is applied. If applied to a standard paragraph, the standard character style is applied. If you want to both apply the standard paragraph format and remove a nonstandard character style, simply click on the button twice."/>
          <box id="box4">
            <button id="btnAddSpace" label="Add Space" image="addspace" onAction="AddVerticalSpace" screentip="Add 6 pt (2.1 mm) of vertical space before the selected paragraph."/>
          </box>
          <box id="box41">
            <button id="btnClearSpace" label="Clear Space" image="removespace" onAction="ClearVerticalSpace" screentip="Clear any vertical space before and after the selected text"/>
          </box>
          <box id="box42">
            <button id="btnFootnote" label="Footnote" imageMso="FootnoteInsert" onAction="InsertFN" screentip="Add a footnote"/>
          </box>
          <button id="btnReference" label="Reference Item" image="referenceitem" size="large" onAction="MakeRefItem" screentip="Format the selected text as reference item"/>
        </group>
        <group id="grSpecialFormats" label="Figures, Tables, Equations" autoScale="true">
          <box id="box5" boxStyle="horizontal">
            <button id="btnInsImage" label="Insert Image    " image="InsertImage24" onAction="InsertImage" screentip="Insert an image"/>
            <button id="btnTable" label="Table Caption" image="TabCaption24" onAction="MakeTableCaption" screentip="Format the selected text as table caption" supertip="Please note that the table is numbered with an automatic counter that is updated whenever you reopen the document. A table caption should always be positioned above the related table."/>
          </box>
          <box id="box51" boxStyle="horizontal">
            <button id="btnFigure" label="Figure Caption" image="FigCaption24" onAction="MakeFigCaption" screentip="Format the selected text as figure caption" supertip="Please note that the figure is numbered with an automatic counter that is updated whenever you reopen the document. A figure caption should always be positioned below the related figure."/>
            <gallery idMso="TableInsertGallery" label="Insert Table"/>
          </box>
          <button id="btnEquation" label="Displayed Equation" image="equation" size="large" onAction="MakeEquation" screentip="Format the selected text as a displayed equation"/>
          <button id="btnEqCounter" label="Add Eq. Number" image="eqnumber" size="large" onAction="AddEqCounter" screentip="Add an equation number to a selected equation" supertip="The equation numbering is updated whenever you open the document"/>
          <button id="btnProgcode" label="Prog. Code" imageMso="CreateStoredProcedure" size="large" onAction="MakeProgCode" screentip="Format the selected text as program code (typewriter style)"/>
        </group>
        <group id="grRestoreTemplate" label="Template" autoScale="true">
          <button id="btnRestTemplate" label="Check Styles" imageMso="AccessThemesGallery" size="large" onAction="RestoreSettings" screentip="Restore all styles" supertip="Use this button if the original template styles might have been altered or deleted."/>
        </group>
      </tab>
    </tabs>
  </ribbon>
</customUI>
</file>

<file path=docProps/app.xml><?xml version="1.0" encoding="utf-8"?>
<Properties xmlns="http://schemas.openxmlformats.org/officeDocument/2006/extended-properties" xmlns:vt="http://schemas.openxmlformats.org/officeDocument/2006/docPropsVTypes">
  <Template>Normal.dotm</Template>
  <TotalTime>19</TotalTime>
  <Pages>18</Pages>
  <Words>6984</Words>
  <Characters>39813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Markus Richter</dc:creator>
  <cp:lastModifiedBy>u3008540@connect.hku.hk</cp:lastModifiedBy>
  <cp:revision>5</cp:revision>
  <cp:lastPrinted>2025-02-11T03:46:00Z</cp:lastPrinted>
  <dcterms:created xsi:type="dcterms:W3CDTF">2025-02-11T03:46:00Z</dcterms:created>
  <dcterms:modified xsi:type="dcterms:W3CDTF">2025-07-15T05:01:00Z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zotero-version="6.0.37"&gt;&lt;session id="4DFgghhs"/&gt;&lt;style id="http://www.zotero.org/styles/apa" locale="en-US" hasBibliography="1" bibliographyStyleHasBeenSet="0"/&gt;&lt;prefs&gt;&lt;pref name="fieldType" value="Field"/&gt;&lt;/prefs&gt;&lt;/data&gt;</vt:lpwstr>
  </property>
</Properties>
</file>